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6BE7" w14:textId="77777777" w:rsidR="007164E5" w:rsidRDefault="00E24016" w:rsidP="00ED296A">
      <w:pPr>
        <w:pStyle w:val="BlockText"/>
        <w:jc w:val="center"/>
      </w:pPr>
      <w:bookmarkStart w:id="0" w:name="_GoBack"/>
      <w:bookmarkEnd w:id="0"/>
      <w:r>
        <w:t>Duke University School of Medicine Statement on Faculty Professionalism</w:t>
      </w:r>
    </w:p>
    <w:p w14:paraId="3F1464EB" w14:textId="77777777" w:rsidR="008867C3" w:rsidRDefault="008867C3" w:rsidP="00433B6F">
      <w:pPr>
        <w:pStyle w:val="BlockText"/>
        <w:jc w:val="both"/>
      </w:pPr>
    </w:p>
    <w:p w14:paraId="0C7069B6" w14:textId="31836EB0" w:rsidR="007164E5" w:rsidRDefault="005A3066" w:rsidP="00433B6F">
      <w:pPr>
        <w:pStyle w:val="Heading1"/>
        <w:tabs>
          <w:tab w:val="left" w:pos="8069"/>
        </w:tabs>
        <w:spacing w:line="267" w:lineRule="exact"/>
        <w:ind w:left="111" w:right="340"/>
        <w:jc w:val="both"/>
      </w:pPr>
      <w:r>
        <w:rPr>
          <w:u w:val="single" w:color="8063A1"/>
        </w:rPr>
        <w:t xml:space="preserve">Version </w:t>
      </w:r>
      <w:r w:rsidR="00FC47C2">
        <w:rPr>
          <w:u w:val="single" w:color="8063A1"/>
        </w:rPr>
        <w:t>07.07</w:t>
      </w:r>
      <w:r w:rsidR="00543093">
        <w:rPr>
          <w:u w:val="single" w:color="8063A1"/>
        </w:rPr>
        <w:t>.2022</w:t>
      </w:r>
    </w:p>
    <w:p w14:paraId="4F941287" w14:textId="77777777" w:rsidR="007164E5" w:rsidRDefault="007164E5" w:rsidP="00433B6F">
      <w:pPr>
        <w:pStyle w:val="BodyText"/>
        <w:spacing w:before="2"/>
        <w:jc w:val="both"/>
        <w:rPr>
          <w:b/>
          <w:sz w:val="5"/>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7941"/>
        <w:gridCol w:w="2139"/>
      </w:tblGrid>
      <w:tr w:rsidR="007164E5" w14:paraId="604223EC" w14:textId="77777777" w:rsidTr="00190C9A">
        <w:trPr>
          <w:trHeight w:hRule="exact" w:val="238"/>
        </w:trPr>
        <w:tc>
          <w:tcPr>
            <w:tcW w:w="3939" w:type="pct"/>
            <w:tcBorders>
              <w:bottom w:val="single" w:sz="8" w:space="0" w:color="8063A1"/>
            </w:tcBorders>
            <w:vAlign w:val="center"/>
          </w:tcPr>
          <w:p w14:paraId="7E97B3B5" w14:textId="77777777" w:rsidR="007164E5" w:rsidRDefault="00E24016" w:rsidP="00190C9A">
            <w:pPr>
              <w:pStyle w:val="TableParagraph"/>
              <w:spacing w:line="225" w:lineRule="exact"/>
              <w:rPr>
                <w:b/>
              </w:rPr>
            </w:pPr>
            <w:r>
              <w:rPr>
                <w:b/>
                <w:color w:val="5F4879"/>
                <w:u w:val="single" w:color="5F4879"/>
              </w:rPr>
              <w:t>Index</w:t>
            </w:r>
          </w:p>
        </w:tc>
        <w:tc>
          <w:tcPr>
            <w:tcW w:w="1061" w:type="pct"/>
            <w:tcBorders>
              <w:bottom w:val="single" w:sz="8" w:space="0" w:color="8063A1"/>
            </w:tcBorders>
            <w:vAlign w:val="center"/>
          </w:tcPr>
          <w:p w14:paraId="1CD631D3" w14:textId="77777777" w:rsidR="007164E5" w:rsidRDefault="00E24016" w:rsidP="00190C9A">
            <w:pPr>
              <w:pStyle w:val="TableParagraph"/>
              <w:spacing w:line="225" w:lineRule="exact"/>
              <w:ind w:left="578"/>
              <w:rPr>
                <w:b/>
              </w:rPr>
            </w:pPr>
            <w:r>
              <w:rPr>
                <w:b/>
                <w:color w:val="5F4879"/>
                <w:u w:val="single" w:color="5F4879"/>
              </w:rPr>
              <w:t>Page</w:t>
            </w:r>
          </w:p>
        </w:tc>
      </w:tr>
      <w:tr w:rsidR="007164E5" w14:paraId="6710AC38" w14:textId="77777777" w:rsidTr="00190C9A">
        <w:trPr>
          <w:trHeight w:hRule="exact" w:val="278"/>
        </w:trPr>
        <w:tc>
          <w:tcPr>
            <w:tcW w:w="3939" w:type="pct"/>
            <w:tcBorders>
              <w:top w:val="single" w:sz="8" w:space="0" w:color="8063A1"/>
            </w:tcBorders>
            <w:shd w:val="clear" w:color="auto" w:fill="DFD7E8"/>
            <w:vAlign w:val="center"/>
          </w:tcPr>
          <w:p w14:paraId="6468FE62" w14:textId="77777777" w:rsidR="007164E5" w:rsidRDefault="00E24016" w:rsidP="00190C9A">
            <w:pPr>
              <w:pStyle w:val="TableParagraph"/>
              <w:rPr>
                <w:b/>
              </w:rPr>
            </w:pPr>
            <w:r>
              <w:rPr>
                <w:b/>
                <w:color w:val="5F4879"/>
              </w:rPr>
              <w:t>Introduction</w:t>
            </w:r>
          </w:p>
        </w:tc>
        <w:tc>
          <w:tcPr>
            <w:tcW w:w="1061" w:type="pct"/>
            <w:tcBorders>
              <w:top w:val="single" w:sz="8" w:space="0" w:color="8063A1"/>
            </w:tcBorders>
            <w:shd w:val="clear" w:color="auto" w:fill="DFD7E8"/>
            <w:vAlign w:val="center"/>
          </w:tcPr>
          <w:p w14:paraId="2AF3D3CA" w14:textId="77777777" w:rsidR="007164E5" w:rsidRDefault="00E24016" w:rsidP="00190C9A">
            <w:pPr>
              <w:pStyle w:val="TableParagraph"/>
              <w:ind w:left="578"/>
            </w:pPr>
            <w:r>
              <w:rPr>
                <w:color w:val="5F4879"/>
              </w:rPr>
              <w:t>1</w:t>
            </w:r>
          </w:p>
        </w:tc>
      </w:tr>
      <w:tr w:rsidR="007164E5" w14:paraId="08E7EC5B" w14:textId="77777777" w:rsidTr="00190C9A">
        <w:trPr>
          <w:trHeight w:hRule="exact" w:val="269"/>
        </w:trPr>
        <w:tc>
          <w:tcPr>
            <w:tcW w:w="3939" w:type="pct"/>
            <w:vAlign w:val="center"/>
          </w:tcPr>
          <w:p w14:paraId="05ABD742" w14:textId="77777777" w:rsidR="007164E5" w:rsidRDefault="00E24016" w:rsidP="00190C9A">
            <w:pPr>
              <w:pStyle w:val="TableParagraph"/>
              <w:rPr>
                <w:b/>
              </w:rPr>
            </w:pPr>
            <w:r>
              <w:rPr>
                <w:b/>
                <w:color w:val="5F4879"/>
              </w:rPr>
              <w:t>Statement on Faculty Professionalism</w:t>
            </w:r>
          </w:p>
        </w:tc>
        <w:tc>
          <w:tcPr>
            <w:tcW w:w="1061" w:type="pct"/>
            <w:vAlign w:val="center"/>
          </w:tcPr>
          <w:p w14:paraId="2C6DBC92" w14:textId="77777777" w:rsidR="007164E5" w:rsidRDefault="00E24016" w:rsidP="00190C9A">
            <w:pPr>
              <w:pStyle w:val="TableParagraph"/>
              <w:ind w:left="578"/>
            </w:pPr>
            <w:r>
              <w:rPr>
                <w:color w:val="5F4879"/>
              </w:rPr>
              <w:t>1</w:t>
            </w:r>
          </w:p>
        </w:tc>
      </w:tr>
      <w:tr w:rsidR="007164E5" w14:paraId="70013E36" w14:textId="77777777" w:rsidTr="00190C9A">
        <w:trPr>
          <w:trHeight w:hRule="exact" w:val="269"/>
        </w:trPr>
        <w:tc>
          <w:tcPr>
            <w:tcW w:w="3939" w:type="pct"/>
            <w:shd w:val="clear" w:color="auto" w:fill="DFD7E8"/>
            <w:vAlign w:val="center"/>
          </w:tcPr>
          <w:p w14:paraId="44632531" w14:textId="77777777" w:rsidR="007164E5" w:rsidRDefault="00E24016" w:rsidP="00190C9A">
            <w:pPr>
              <w:pStyle w:val="TableParagraph"/>
              <w:rPr>
                <w:b/>
              </w:rPr>
            </w:pPr>
            <w:r>
              <w:rPr>
                <w:b/>
                <w:color w:val="5F4879"/>
              </w:rPr>
              <w:t>Scope</w:t>
            </w:r>
          </w:p>
        </w:tc>
        <w:tc>
          <w:tcPr>
            <w:tcW w:w="1061" w:type="pct"/>
            <w:shd w:val="clear" w:color="auto" w:fill="DFD7E8"/>
            <w:vAlign w:val="center"/>
          </w:tcPr>
          <w:p w14:paraId="2A96A33E" w14:textId="77777777" w:rsidR="007164E5" w:rsidRDefault="00E24016" w:rsidP="00190C9A">
            <w:pPr>
              <w:pStyle w:val="TableParagraph"/>
              <w:ind w:left="578"/>
            </w:pPr>
            <w:r>
              <w:rPr>
                <w:color w:val="5F4879"/>
              </w:rPr>
              <w:t>2</w:t>
            </w:r>
          </w:p>
        </w:tc>
      </w:tr>
      <w:tr w:rsidR="007164E5" w14:paraId="3C48AD7D" w14:textId="77777777" w:rsidTr="00190C9A">
        <w:trPr>
          <w:trHeight w:hRule="exact" w:val="269"/>
        </w:trPr>
        <w:tc>
          <w:tcPr>
            <w:tcW w:w="3939" w:type="pct"/>
            <w:vAlign w:val="center"/>
          </w:tcPr>
          <w:p w14:paraId="7ABCA2C3" w14:textId="77777777" w:rsidR="007164E5" w:rsidRDefault="00E24016" w:rsidP="00190C9A">
            <w:pPr>
              <w:pStyle w:val="TableParagraph"/>
              <w:rPr>
                <w:b/>
              </w:rPr>
            </w:pPr>
            <w:r>
              <w:rPr>
                <w:b/>
                <w:color w:val="5F4879"/>
              </w:rPr>
              <w:t>Description of Professionalism</w:t>
            </w:r>
          </w:p>
        </w:tc>
        <w:tc>
          <w:tcPr>
            <w:tcW w:w="1061" w:type="pct"/>
            <w:vAlign w:val="center"/>
          </w:tcPr>
          <w:p w14:paraId="31BD0A80" w14:textId="77777777" w:rsidR="007164E5" w:rsidRDefault="00E24016" w:rsidP="00190C9A">
            <w:pPr>
              <w:pStyle w:val="TableParagraph"/>
              <w:ind w:left="578"/>
            </w:pPr>
            <w:r>
              <w:rPr>
                <w:color w:val="5F4879"/>
              </w:rPr>
              <w:t>2</w:t>
            </w:r>
          </w:p>
        </w:tc>
      </w:tr>
      <w:tr w:rsidR="007164E5" w14:paraId="4CE6AFD1" w14:textId="77777777" w:rsidTr="00190C9A">
        <w:trPr>
          <w:trHeight w:hRule="exact" w:val="269"/>
        </w:trPr>
        <w:tc>
          <w:tcPr>
            <w:tcW w:w="3939" w:type="pct"/>
            <w:shd w:val="clear" w:color="auto" w:fill="DFD7E8"/>
            <w:vAlign w:val="center"/>
          </w:tcPr>
          <w:p w14:paraId="4B3457D8" w14:textId="77777777" w:rsidR="007164E5" w:rsidRDefault="00E24016" w:rsidP="00190C9A">
            <w:pPr>
              <w:pStyle w:val="TableParagraph"/>
              <w:rPr>
                <w:b/>
              </w:rPr>
            </w:pPr>
            <w:r>
              <w:rPr>
                <w:b/>
                <w:color w:val="5F4879"/>
              </w:rPr>
              <w:t>Process for Reporting Concerns</w:t>
            </w:r>
          </w:p>
        </w:tc>
        <w:tc>
          <w:tcPr>
            <w:tcW w:w="1061" w:type="pct"/>
            <w:shd w:val="clear" w:color="auto" w:fill="DFD7E8"/>
            <w:vAlign w:val="center"/>
          </w:tcPr>
          <w:p w14:paraId="321AE597" w14:textId="77777777" w:rsidR="007164E5" w:rsidRDefault="00E24016" w:rsidP="00190C9A">
            <w:pPr>
              <w:pStyle w:val="TableParagraph"/>
              <w:ind w:left="578"/>
            </w:pPr>
            <w:r>
              <w:rPr>
                <w:color w:val="5F4879"/>
              </w:rPr>
              <w:t>3</w:t>
            </w:r>
          </w:p>
        </w:tc>
      </w:tr>
      <w:tr w:rsidR="007164E5" w14:paraId="1DECE13B" w14:textId="77777777" w:rsidTr="00190C9A">
        <w:trPr>
          <w:trHeight w:hRule="exact" w:val="269"/>
        </w:trPr>
        <w:tc>
          <w:tcPr>
            <w:tcW w:w="3939" w:type="pct"/>
            <w:vAlign w:val="center"/>
          </w:tcPr>
          <w:p w14:paraId="48F3B639" w14:textId="77777777" w:rsidR="007164E5" w:rsidRDefault="00E24016" w:rsidP="00190C9A">
            <w:pPr>
              <w:pStyle w:val="TableParagraph"/>
              <w:rPr>
                <w:b/>
              </w:rPr>
            </w:pPr>
            <w:r>
              <w:rPr>
                <w:b/>
                <w:color w:val="5F4879"/>
              </w:rPr>
              <w:t>Non-Retribution</w:t>
            </w:r>
          </w:p>
        </w:tc>
        <w:tc>
          <w:tcPr>
            <w:tcW w:w="1061" w:type="pct"/>
            <w:vAlign w:val="center"/>
          </w:tcPr>
          <w:p w14:paraId="48A2859E" w14:textId="77777777" w:rsidR="007164E5" w:rsidRDefault="00A11070" w:rsidP="00190C9A">
            <w:pPr>
              <w:pStyle w:val="TableParagraph"/>
              <w:ind w:left="578"/>
            </w:pPr>
            <w:r>
              <w:rPr>
                <w:color w:val="5F4879"/>
              </w:rPr>
              <w:t>3</w:t>
            </w:r>
          </w:p>
        </w:tc>
      </w:tr>
      <w:tr w:rsidR="007164E5" w14:paraId="16C9B520" w14:textId="77777777" w:rsidTr="00190C9A">
        <w:trPr>
          <w:trHeight w:hRule="exact" w:val="269"/>
        </w:trPr>
        <w:tc>
          <w:tcPr>
            <w:tcW w:w="3939" w:type="pct"/>
            <w:shd w:val="clear" w:color="auto" w:fill="DFD7E8"/>
            <w:vAlign w:val="center"/>
          </w:tcPr>
          <w:p w14:paraId="23895E51" w14:textId="77777777" w:rsidR="007164E5" w:rsidRDefault="007164E5" w:rsidP="00190C9A"/>
        </w:tc>
        <w:tc>
          <w:tcPr>
            <w:tcW w:w="1061" w:type="pct"/>
            <w:shd w:val="clear" w:color="auto" w:fill="DFD7E8"/>
            <w:vAlign w:val="center"/>
          </w:tcPr>
          <w:p w14:paraId="67F400A5" w14:textId="77777777" w:rsidR="007164E5" w:rsidRDefault="007164E5" w:rsidP="00190C9A"/>
        </w:tc>
      </w:tr>
      <w:tr w:rsidR="007164E5" w14:paraId="2D10C8BD" w14:textId="77777777" w:rsidTr="00190C9A">
        <w:trPr>
          <w:trHeight w:hRule="exact" w:val="266"/>
        </w:trPr>
        <w:tc>
          <w:tcPr>
            <w:tcW w:w="3939" w:type="pct"/>
            <w:vAlign w:val="center"/>
          </w:tcPr>
          <w:p w14:paraId="533657C7" w14:textId="77777777" w:rsidR="007164E5" w:rsidRDefault="00E24016" w:rsidP="00190C9A">
            <w:pPr>
              <w:pStyle w:val="TableParagraph"/>
              <w:rPr>
                <w:b/>
              </w:rPr>
            </w:pPr>
            <w:r>
              <w:rPr>
                <w:b/>
                <w:color w:val="5F4879"/>
              </w:rPr>
              <w:t>Appendices</w:t>
            </w:r>
          </w:p>
        </w:tc>
        <w:tc>
          <w:tcPr>
            <w:tcW w:w="1061" w:type="pct"/>
            <w:vAlign w:val="center"/>
          </w:tcPr>
          <w:p w14:paraId="66D24E40" w14:textId="77777777" w:rsidR="007164E5" w:rsidRDefault="007164E5" w:rsidP="00190C9A"/>
        </w:tc>
      </w:tr>
      <w:tr w:rsidR="007164E5" w14:paraId="478EFB96" w14:textId="77777777" w:rsidTr="00190C9A">
        <w:trPr>
          <w:trHeight w:hRule="exact" w:val="269"/>
        </w:trPr>
        <w:tc>
          <w:tcPr>
            <w:tcW w:w="3939" w:type="pct"/>
            <w:shd w:val="clear" w:color="auto" w:fill="DFD7E8"/>
            <w:vAlign w:val="center"/>
          </w:tcPr>
          <w:p w14:paraId="77F1CC2E" w14:textId="77777777" w:rsidR="007164E5" w:rsidRDefault="00E24016" w:rsidP="00190C9A">
            <w:pPr>
              <w:pStyle w:val="TableParagraph"/>
              <w:rPr>
                <w:b/>
              </w:rPr>
            </w:pPr>
            <w:r>
              <w:rPr>
                <w:b/>
                <w:color w:val="5F4879"/>
              </w:rPr>
              <w:t>A Resources</w:t>
            </w:r>
          </w:p>
        </w:tc>
        <w:tc>
          <w:tcPr>
            <w:tcW w:w="1061" w:type="pct"/>
            <w:shd w:val="clear" w:color="auto" w:fill="DFD7E8"/>
            <w:vAlign w:val="center"/>
          </w:tcPr>
          <w:p w14:paraId="1232F288" w14:textId="77777777" w:rsidR="007164E5" w:rsidRDefault="00E24016" w:rsidP="00190C9A">
            <w:pPr>
              <w:pStyle w:val="TableParagraph"/>
              <w:ind w:left="578"/>
            </w:pPr>
            <w:r>
              <w:rPr>
                <w:color w:val="5F4879"/>
              </w:rPr>
              <w:t>4</w:t>
            </w:r>
          </w:p>
        </w:tc>
      </w:tr>
      <w:tr w:rsidR="007164E5" w14:paraId="0E40FD19" w14:textId="77777777" w:rsidTr="00190C9A">
        <w:trPr>
          <w:trHeight w:hRule="exact" w:val="269"/>
        </w:trPr>
        <w:tc>
          <w:tcPr>
            <w:tcW w:w="3939" w:type="pct"/>
            <w:vAlign w:val="center"/>
          </w:tcPr>
          <w:p w14:paraId="53567B76" w14:textId="77777777" w:rsidR="007164E5" w:rsidRDefault="00E24016" w:rsidP="00190C9A">
            <w:pPr>
              <w:pStyle w:val="TableParagraph"/>
              <w:spacing w:line="266" w:lineRule="exact"/>
              <w:rPr>
                <w:b/>
              </w:rPr>
            </w:pPr>
            <w:r>
              <w:rPr>
                <w:b/>
                <w:color w:val="5F4879"/>
              </w:rPr>
              <w:t>B  Dean’s Advisory Council on Faculty Conduct</w:t>
            </w:r>
          </w:p>
        </w:tc>
        <w:tc>
          <w:tcPr>
            <w:tcW w:w="1061" w:type="pct"/>
            <w:vAlign w:val="center"/>
          </w:tcPr>
          <w:p w14:paraId="37CB5321" w14:textId="330F54AC" w:rsidR="007164E5" w:rsidRDefault="00ED296A" w:rsidP="00ED296A">
            <w:pPr>
              <w:pStyle w:val="TableParagraph"/>
              <w:spacing w:line="266" w:lineRule="exact"/>
              <w:ind w:left="578"/>
            </w:pPr>
            <w:r>
              <w:rPr>
                <w:color w:val="5F4879"/>
              </w:rPr>
              <w:t>6</w:t>
            </w:r>
          </w:p>
        </w:tc>
      </w:tr>
      <w:tr w:rsidR="007164E5" w14:paraId="33BA85AC" w14:textId="77777777" w:rsidTr="00190C9A">
        <w:trPr>
          <w:trHeight w:hRule="exact" w:val="269"/>
        </w:trPr>
        <w:tc>
          <w:tcPr>
            <w:tcW w:w="3939" w:type="pct"/>
            <w:shd w:val="clear" w:color="auto" w:fill="DFD7E8"/>
            <w:vAlign w:val="center"/>
          </w:tcPr>
          <w:p w14:paraId="6E3A4EF8" w14:textId="77777777" w:rsidR="007164E5" w:rsidRDefault="00E24016" w:rsidP="00190C9A">
            <w:pPr>
              <w:pStyle w:val="TableParagraph"/>
              <w:rPr>
                <w:b/>
              </w:rPr>
            </w:pPr>
            <w:r>
              <w:rPr>
                <w:b/>
                <w:color w:val="5F4879"/>
              </w:rPr>
              <w:t>C  Guidelines for providing feedback</w:t>
            </w:r>
          </w:p>
        </w:tc>
        <w:tc>
          <w:tcPr>
            <w:tcW w:w="1061" w:type="pct"/>
            <w:shd w:val="clear" w:color="auto" w:fill="DFD7E8"/>
            <w:vAlign w:val="center"/>
          </w:tcPr>
          <w:p w14:paraId="4DF46459" w14:textId="6ECA9668" w:rsidR="007164E5" w:rsidRDefault="00ED296A" w:rsidP="00ED296A">
            <w:pPr>
              <w:pStyle w:val="TableParagraph"/>
              <w:ind w:left="578"/>
            </w:pPr>
            <w:r>
              <w:rPr>
                <w:color w:val="5F4879"/>
              </w:rPr>
              <w:t>7</w:t>
            </w:r>
          </w:p>
        </w:tc>
      </w:tr>
      <w:tr w:rsidR="007164E5" w14:paraId="524E7484" w14:textId="77777777" w:rsidTr="00190C9A">
        <w:trPr>
          <w:trHeight w:hRule="exact" w:val="278"/>
        </w:trPr>
        <w:tc>
          <w:tcPr>
            <w:tcW w:w="3939" w:type="pct"/>
            <w:tcBorders>
              <w:bottom w:val="single" w:sz="8" w:space="0" w:color="8063A1"/>
            </w:tcBorders>
            <w:vAlign w:val="center"/>
          </w:tcPr>
          <w:p w14:paraId="15A6DB13" w14:textId="77777777" w:rsidR="007164E5" w:rsidRDefault="00E24016" w:rsidP="00190C9A">
            <w:pPr>
              <w:pStyle w:val="TableParagraph"/>
              <w:rPr>
                <w:b/>
              </w:rPr>
            </w:pPr>
            <w:r>
              <w:rPr>
                <w:b/>
                <w:color w:val="5F4879"/>
              </w:rPr>
              <w:t>D  Document History</w:t>
            </w:r>
          </w:p>
        </w:tc>
        <w:tc>
          <w:tcPr>
            <w:tcW w:w="1061" w:type="pct"/>
            <w:tcBorders>
              <w:bottom w:val="single" w:sz="8" w:space="0" w:color="8063A1"/>
            </w:tcBorders>
            <w:vAlign w:val="center"/>
          </w:tcPr>
          <w:p w14:paraId="3D2F153C" w14:textId="5DD15C50" w:rsidR="007164E5" w:rsidRDefault="00ED296A" w:rsidP="00ED296A">
            <w:pPr>
              <w:pStyle w:val="TableParagraph"/>
              <w:ind w:left="578"/>
            </w:pPr>
            <w:r>
              <w:rPr>
                <w:color w:val="5F4879"/>
              </w:rPr>
              <w:t>8</w:t>
            </w:r>
          </w:p>
        </w:tc>
      </w:tr>
    </w:tbl>
    <w:p w14:paraId="26D8BE00" w14:textId="77777777" w:rsidR="007164E5" w:rsidRDefault="007164E5" w:rsidP="00433B6F">
      <w:pPr>
        <w:pStyle w:val="BodyText"/>
        <w:spacing w:before="2"/>
        <w:jc w:val="both"/>
        <w:rPr>
          <w:b/>
          <w:sz w:val="17"/>
        </w:rPr>
      </w:pPr>
    </w:p>
    <w:p w14:paraId="63FDDBDE" w14:textId="77777777" w:rsidR="007164E5" w:rsidRDefault="00E24016" w:rsidP="00433B6F">
      <w:pPr>
        <w:pStyle w:val="BodyText"/>
        <w:spacing w:before="56"/>
        <w:ind w:left="220" w:right="2689"/>
        <w:jc w:val="both"/>
      </w:pPr>
      <w:r>
        <w:rPr>
          <w:u w:val="single"/>
        </w:rPr>
        <w:t>Introduction</w:t>
      </w:r>
    </w:p>
    <w:p w14:paraId="1CE8B3A2" w14:textId="77777777" w:rsidR="007164E5" w:rsidRDefault="00E24016" w:rsidP="00433B6F">
      <w:pPr>
        <w:pStyle w:val="BodyText"/>
        <w:ind w:left="220" w:right="340"/>
        <w:jc w:val="both"/>
      </w:pPr>
      <w:r>
        <w:t>Professionalism is a core value and expectation of all Duke School of Medicine faculty. As a community, each of us affirms and animates this value through our daily interactions with each other, our learners, our team members, our trainees, our patients, and the public. While professional behavior is the overwhelming norm, academic medicine is a highly complex, high-stakes work environment in which episodes that test the boundaries of professionalism can occur. As a community of faculty, it is necessary to have mechanisms to manage concerns about unprofessional behavior in a manner that is fair, balanced and respectful. This document addresses this need by providing a statement of values regarding professional behavior. It also outlines procedures for reporting concerns, provides resources for discussing concerns, and describes the role of the Dean’s Advisory Council on Faculty Conduct in hearing certain cases.</w:t>
      </w:r>
    </w:p>
    <w:p w14:paraId="26401B7B" w14:textId="77777777" w:rsidR="00C02133" w:rsidRDefault="00C02133" w:rsidP="00433B6F">
      <w:pPr>
        <w:pStyle w:val="BodyText"/>
        <w:ind w:left="220" w:right="340"/>
        <w:jc w:val="both"/>
      </w:pPr>
    </w:p>
    <w:p w14:paraId="046AF80F" w14:textId="77777777" w:rsidR="00C02133" w:rsidRPr="00C02133" w:rsidRDefault="00C02133" w:rsidP="00433B6F">
      <w:pPr>
        <w:pStyle w:val="BodyText"/>
        <w:ind w:left="220" w:right="340"/>
        <w:jc w:val="both"/>
        <w:rPr>
          <w:u w:val="single"/>
        </w:rPr>
      </w:pPr>
      <w:r w:rsidRPr="00C02133">
        <w:rPr>
          <w:u w:val="single"/>
        </w:rPr>
        <w:t>Statement on Faculty Professionalism</w:t>
      </w:r>
    </w:p>
    <w:p w14:paraId="16BAF7AC" w14:textId="77777777" w:rsidR="00C02133" w:rsidRDefault="00C02133" w:rsidP="00433B6F">
      <w:pPr>
        <w:ind w:left="220" w:right="350"/>
        <w:jc w:val="both"/>
        <w:rPr>
          <w:szCs w:val="24"/>
        </w:rPr>
      </w:pPr>
      <w:r w:rsidRPr="00F731F7">
        <w:rPr>
          <w:szCs w:val="24"/>
        </w:rPr>
        <w:t>All School of Medicine faculty are expected to uphold the highest standards for professional conduct and ethical behavior. Faculty are expected to treat everyone in the work environment with courtesy, respect, and dignity. Faculty are responsible for modeling professional conduct, for cultivating a respectful and inclusive work environment, and for responding to unprofessional behavior on the part of others. All faculty are expected to adhere to applicable Duke University and Duke University Health System policies and procedures.</w:t>
      </w:r>
    </w:p>
    <w:p w14:paraId="1DBC3902" w14:textId="77777777" w:rsidR="00C02133" w:rsidRPr="00F731F7" w:rsidRDefault="00C02133" w:rsidP="00433B6F">
      <w:pPr>
        <w:ind w:left="220" w:right="350"/>
        <w:jc w:val="both"/>
        <w:rPr>
          <w:szCs w:val="24"/>
        </w:rPr>
      </w:pPr>
    </w:p>
    <w:p w14:paraId="58E3CC0E" w14:textId="77777777" w:rsidR="00C02133" w:rsidRPr="00F731F7" w:rsidRDefault="00C02133" w:rsidP="00433B6F">
      <w:pPr>
        <w:ind w:left="220" w:right="350"/>
        <w:jc w:val="both"/>
        <w:rPr>
          <w:szCs w:val="24"/>
        </w:rPr>
      </w:pPr>
      <w:r w:rsidRPr="00F731F7">
        <w:rPr>
          <w:szCs w:val="24"/>
        </w:rPr>
        <w:t xml:space="preserve">Unprofessional behavior includes that which is intimidating, threatening, violent, inappropriate, illegal, dishonest or in violation of </w:t>
      </w:r>
      <w:r w:rsidRPr="00F731F7">
        <w:rPr>
          <w:iCs/>
          <w:szCs w:val="24"/>
        </w:rPr>
        <w:t>departmental,</w:t>
      </w:r>
      <w:r w:rsidRPr="00F731F7">
        <w:rPr>
          <w:i/>
          <w:iCs/>
          <w:color w:val="FF0000"/>
          <w:szCs w:val="24"/>
        </w:rPr>
        <w:t xml:space="preserve"> </w:t>
      </w:r>
      <w:r w:rsidRPr="00F731F7">
        <w:rPr>
          <w:szCs w:val="24"/>
        </w:rPr>
        <w:t>University or Health System standards or</w:t>
      </w:r>
      <w:r w:rsidRPr="00F731F7">
        <w:rPr>
          <w:i/>
          <w:szCs w:val="24"/>
        </w:rPr>
        <w:t xml:space="preserve"> </w:t>
      </w:r>
      <w:r w:rsidRPr="00F731F7">
        <w:rPr>
          <w:szCs w:val="24"/>
        </w:rPr>
        <w:t xml:space="preserve">policy. To foster a just and safe community, unprofessional behavior will be addressed, with interventions aimed at promoting insight, accountability, and appropriate changes in behavior. </w:t>
      </w:r>
      <w:r w:rsidRPr="00F731F7">
        <w:rPr>
          <w:iCs/>
          <w:szCs w:val="24"/>
        </w:rPr>
        <w:t>Unprofessional</w:t>
      </w:r>
      <w:r w:rsidRPr="00F731F7">
        <w:rPr>
          <w:szCs w:val="24"/>
        </w:rPr>
        <w:t xml:space="preserve"> behavior may result in sanctions, up to and including compensation</w:t>
      </w:r>
      <w:r w:rsidRPr="00F731F7">
        <w:rPr>
          <w:iCs/>
          <w:szCs w:val="24"/>
        </w:rPr>
        <w:t xml:space="preserve"> reduction and</w:t>
      </w:r>
      <w:r w:rsidRPr="00F731F7">
        <w:rPr>
          <w:szCs w:val="24"/>
        </w:rPr>
        <w:t xml:space="preserve"> the initiation of termination proceedings.</w:t>
      </w:r>
    </w:p>
    <w:p w14:paraId="3618161E" w14:textId="77777777" w:rsidR="00C02133" w:rsidRDefault="00C02133" w:rsidP="00433B6F">
      <w:pPr>
        <w:pStyle w:val="BodyText"/>
        <w:ind w:left="440" w:right="340"/>
        <w:jc w:val="both"/>
      </w:pPr>
    </w:p>
    <w:p w14:paraId="55155F5A" w14:textId="77777777" w:rsidR="00C02133" w:rsidRDefault="00C02133" w:rsidP="00433B6F">
      <w:pPr>
        <w:pStyle w:val="BodyText"/>
        <w:ind w:left="220" w:right="340"/>
        <w:jc w:val="both"/>
      </w:pPr>
    </w:p>
    <w:p w14:paraId="2FF7F376" w14:textId="77777777" w:rsidR="007164E5" w:rsidRDefault="007164E5" w:rsidP="00433B6F">
      <w:pPr>
        <w:pStyle w:val="BodyText"/>
        <w:spacing w:before="1"/>
        <w:jc w:val="both"/>
        <w:rPr>
          <w:sz w:val="19"/>
        </w:rPr>
      </w:pPr>
    </w:p>
    <w:p w14:paraId="5643C1B2" w14:textId="77777777" w:rsidR="007164E5" w:rsidRDefault="007164E5" w:rsidP="00433B6F">
      <w:pPr>
        <w:jc w:val="both"/>
        <w:rPr>
          <w:sz w:val="19"/>
        </w:rPr>
        <w:sectPr w:rsidR="007164E5" w:rsidSect="00EA6C5A">
          <w:footerReference w:type="default" r:id="rId8"/>
          <w:type w:val="continuous"/>
          <w:pgSz w:w="12240" w:h="15840"/>
          <w:pgMar w:top="1080" w:right="1080" w:bottom="1080" w:left="1080" w:header="720" w:footer="360" w:gutter="0"/>
          <w:pgNumType w:start="1"/>
          <w:cols w:space="720"/>
          <w:docGrid w:linePitch="299"/>
        </w:sectPr>
      </w:pPr>
    </w:p>
    <w:p w14:paraId="006A9C9D" w14:textId="77777777" w:rsidR="007164E5" w:rsidRDefault="00E24016" w:rsidP="00433B6F">
      <w:pPr>
        <w:pStyle w:val="BodyText"/>
        <w:spacing w:before="37"/>
        <w:ind w:left="100" w:right="221"/>
        <w:jc w:val="both"/>
      </w:pPr>
      <w:r>
        <w:rPr>
          <w:u w:val="single"/>
        </w:rPr>
        <w:lastRenderedPageBreak/>
        <w:t>Scope</w:t>
      </w:r>
    </w:p>
    <w:p w14:paraId="1506E970" w14:textId="1BD497DC" w:rsidR="007164E5" w:rsidRPr="00C054E8" w:rsidRDefault="00E24016" w:rsidP="00433B6F">
      <w:pPr>
        <w:pStyle w:val="BodyText"/>
        <w:ind w:left="100" w:right="221"/>
        <w:jc w:val="both"/>
      </w:pPr>
      <w:r>
        <w:t xml:space="preserve">This Statement on Faculty Professionalism applies to all faculty of the School of Medicine, both Regular Rank and non-Regular Rank. It is relevant to all professional realms, including research, teaching, mentoring, administration and clinical care. However, because the School of Medicine does not, as an entity, provide clinical care, professionalism issues in the clinical care arena are governed by additional policies and procedures, including </w:t>
      </w:r>
      <w:r w:rsidRPr="00C054E8">
        <w:t xml:space="preserve">Duke University Hospital Medical Staff Bylaws, </w:t>
      </w:r>
      <w:hyperlink r:id="rId9">
        <w:r w:rsidRPr="00C054E8">
          <w:t>Clinical Peer Review</w:t>
        </w:r>
      </w:hyperlink>
      <w:r w:rsidRPr="00C054E8">
        <w:t xml:space="preserve"> </w:t>
      </w:r>
      <w:hyperlink r:id="rId10">
        <w:r w:rsidRPr="00C054E8">
          <w:t>Procedures</w:t>
        </w:r>
      </w:hyperlink>
      <w:r w:rsidRPr="00C054E8">
        <w:t xml:space="preserve">, Medical Staff Code of Conduct, Integrity in Action, and </w:t>
      </w:r>
      <w:r w:rsidR="00C054E8">
        <w:t xml:space="preserve">PDC Policies which can be found at the </w:t>
      </w:r>
      <w:hyperlink r:id="rId11" w:history="1">
        <w:r w:rsidR="00AA4D28" w:rsidRPr="00AA4D28">
          <w:rPr>
            <w:rStyle w:val="Hyperlink"/>
          </w:rPr>
          <w:t>Duke Policy</w:t>
        </w:r>
      </w:hyperlink>
      <w:r w:rsidR="00AA4D28">
        <w:t xml:space="preserve"> w</w:t>
      </w:r>
      <w:r w:rsidR="003B1B26" w:rsidRPr="00AA4D28">
        <w:t>ebsite</w:t>
      </w:r>
      <w:r w:rsidR="00C054E8" w:rsidRPr="00AA4D28">
        <w:t>.</w:t>
      </w:r>
      <w:r w:rsidR="00C054E8">
        <w:t xml:space="preserve"> </w:t>
      </w:r>
    </w:p>
    <w:p w14:paraId="45361C38" w14:textId="77777777" w:rsidR="007164E5" w:rsidRPr="00C054E8" w:rsidRDefault="007164E5" w:rsidP="00433B6F">
      <w:pPr>
        <w:pStyle w:val="BodyText"/>
        <w:jc w:val="both"/>
      </w:pPr>
    </w:p>
    <w:p w14:paraId="47E56DF7" w14:textId="77777777" w:rsidR="007164E5" w:rsidRDefault="00E24016" w:rsidP="00433B6F">
      <w:pPr>
        <w:pStyle w:val="BodyText"/>
        <w:ind w:left="100" w:right="161"/>
        <w:jc w:val="both"/>
      </w:pPr>
      <w:r>
        <w:t>This statement is not meant to replace any existing policy or resource (see Appendix A for list of resources). However, even with existing resources, there is a need for a more explicit and consistent approach to unprofessional behavior that is not clearly addressed by other mechanisms. This document is written in response to a request from SoM leadership to address this gap, and to develop a strategy for evaluating and recommending consequences for unprofessional faculty behavior, and ensuring consistency in how the School of Medicine addresses these issues.</w:t>
      </w:r>
    </w:p>
    <w:p w14:paraId="47B8882D" w14:textId="77777777" w:rsidR="007164E5" w:rsidRDefault="007164E5" w:rsidP="00433B6F">
      <w:pPr>
        <w:pStyle w:val="BodyText"/>
        <w:spacing w:before="10"/>
        <w:jc w:val="both"/>
        <w:rPr>
          <w:sz w:val="21"/>
        </w:rPr>
      </w:pPr>
    </w:p>
    <w:p w14:paraId="0D4D1253" w14:textId="77777777" w:rsidR="007164E5" w:rsidRDefault="00E24016" w:rsidP="00433B6F">
      <w:pPr>
        <w:pStyle w:val="BodyText"/>
        <w:spacing w:before="1"/>
        <w:ind w:left="100" w:right="221"/>
        <w:jc w:val="both"/>
      </w:pPr>
      <w:r>
        <w:rPr>
          <w:u w:val="single"/>
        </w:rPr>
        <w:t>Description of Professionalism</w:t>
      </w:r>
    </w:p>
    <w:p w14:paraId="60C4A3D0" w14:textId="77777777" w:rsidR="007164E5" w:rsidRDefault="00E24016" w:rsidP="00433B6F">
      <w:pPr>
        <w:pStyle w:val="BodyText"/>
        <w:ind w:left="100" w:right="307"/>
        <w:jc w:val="both"/>
      </w:pPr>
      <w:r>
        <w:t>Actions that embody professionalism in the academic medicine community have been described* and include these behaviors:</w:t>
      </w:r>
    </w:p>
    <w:p w14:paraId="72CD3C19" w14:textId="77777777" w:rsidR="007164E5" w:rsidRDefault="00E24016" w:rsidP="00433B6F">
      <w:pPr>
        <w:pStyle w:val="ListParagraph"/>
        <w:numPr>
          <w:ilvl w:val="0"/>
          <w:numId w:val="2"/>
        </w:numPr>
        <w:tabs>
          <w:tab w:val="left" w:pos="1181"/>
        </w:tabs>
        <w:spacing w:before="1"/>
        <w:jc w:val="both"/>
      </w:pPr>
      <w:r>
        <w:t>Adheres to high ethical and moral</w:t>
      </w:r>
      <w:r>
        <w:rPr>
          <w:spacing w:val="-10"/>
        </w:rPr>
        <w:t xml:space="preserve"> </w:t>
      </w:r>
      <w:r>
        <w:t>standards</w:t>
      </w:r>
    </w:p>
    <w:p w14:paraId="46878D9B" w14:textId="77777777" w:rsidR="007164E5" w:rsidRDefault="00E24016" w:rsidP="00433B6F">
      <w:pPr>
        <w:pStyle w:val="ListParagraph"/>
        <w:numPr>
          <w:ilvl w:val="0"/>
          <w:numId w:val="2"/>
        </w:numPr>
        <w:tabs>
          <w:tab w:val="left" w:pos="1181"/>
        </w:tabs>
        <w:ind w:right="680"/>
        <w:jc w:val="both"/>
      </w:pPr>
      <w:r>
        <w:t>Conducts academic work with integrity, including adhering to institutional and federal policies on responsible conduct of research and conflict of</w:t>
      </w:r>
      <w:r>
        <w:rPr>
          <w:spacing w:val="-17"/>
        </w:rPr>
        <w:t xml:space="preserve"> </w:t>
      </w:r>
      <w:r>
        <w:t>interest</w:t>
      </w:r>
    </w:p>
    <w:p w14:paraId="59505D55" w14:textId="77777777" w:rsidR="007164E5" w:rsidRDefault="00E24016" w:rsidP="00433B6F">
      <w:pPr>
        <w:pStyle w:val="ListParagraph"/>
        <w:numPr>
          <w:ilvl w:val="0"/>
          <w:numId w:val="2"/>
        </w:numPr>
        <w:tabs>
          <w:tab w:val="left" w:pos="1181"/>
        </w:tabs>
        <w:spacing w:line="279" w:lineRule="exact"/>
        <w:jc w:val="both"/>
      </w:pPr>
      <w:r>
        <w:t>Demonstrates intellectual</w:t>
      </w:r>
      <w:r>
        <w:rPr>
          <w:spacing w:val="-8"/>
        </w:rPr>
        <w:t xml:space="preserve"> </w:t>
      </w:r>
      <w:r>
        <w:t>honesty</w:t>
      </w:r>
    </w:p>
    <w:p w14:paraId="7B19608A" w14:textId="77777777" w:rsidR="007164E5" w:rsidRDefault="00E24016" w:rsidP="00433B6F">
      <w:pPr>
        <w:pStyle w:val="ListParagraph"/>
        <w:numPr>
          <w:ilvl w:val="0"/>
          <w:numId w:val="2"/>
        </w:numPr>
        <w:tabs>
          <w:tab w:val="left" w:pos="1181"/>
        </w:tabs>
        <w:ind w:right="531"/>
        <w:jc w:val="both"/>
      </w:pPr>
      <w:r>
        <w:t>Evinces core humanistic values, including honesty and integrity, caring and compassion, altruism and empathy, collegiality, respect for others, and</w:t>
      </w:r>
      <w:r>
        <w:rPr>
          <w:spacing w:val="-12"/>
        </w:rPr>
        <w:t xml:space="preserve"> </w:t>
      </w:r>
      <w:r>
        <w:t>trustworthiness</w:t>
      </w:r>
    </w:p>
    <w:p w14:paraId="17998619" w14:textId="77777777" w:rsidR="007164E5" w:rsidRDefault="00E24016" w:rsidP="00433B6F">
      <w:pPr>
        <w:pStyle w:val="ListParagraph"/>
        <w:numPr>
          <w:ilvl w:val="0"/>
          <w:numId w:val="2"/>
        </w:numPr>
        <w:tabs>
          <w:tab w:val="left" w:pos="1181"/>
        </w:tabs>
        <w:jc w:val="both"/>
      </w:pPr>
      <w:r>
        <w:t>Takes personal action to support equity and</w:t>
      </w:r>
      <w:r>
        <w:rPr>
          <w:spacing w:val="-17"/>
        </w:rPr>
        <w:t xml:space="preserve"> </w:t>
      </w:r>
      <w:r>
        <w:t>inclusion</w:t>
      </w:r>
    </w:p>
    <w:p w14:paraId="77BA1936" w14:textId="77777777" w:rsidR="007164E5" w:rsidRDefault="00E24016" w:rsidP="00433B6F">
      <w:pPr>
        <w:pStyle w:val="ListParagraph"/>
        <w:numPr>
          <w:ilvl w:val="0"/>
          <w:numId w:val="2"/>
        </w:numPr>
        <w:tabs>
          <w:tab w:val="left" w:pos="1181"/>
        </w:tabs>
        <w:spacing w:before="1"/>
        <w:jc w:val="both"/>
      </w:pPr>
      <w:r>
        <w:t>Is able to subordinate own interests to the interests of others when</w:t>
      </w:r>
      <w:r>
        <w:rPr>
          <w:spacing w:val="-25"/>
        </w:rPr>
        <w:t xml:space="preserve"> </w:t>
      </w:r>
      <w:r>
        <w:t>appropriate</w:t>
      </w:r>
    </w:p>
    <w:p w14:paraId="39662C4C" w14:textId="77777777" w:rsidR="007164E5" w:rsidRDefault="00E24016" w:rsidP="00433B6F">
      <w:pPr>
        <w:pStyle w:val="ListParagraph"/>
        <w:numPr>
          <w:ilvl w:val="0"/>
          <w:numId w:val="2"/>
        </w:numPr>
        <w:tabs>
          <w:tab w:val="left" w:pos="1181"/>
        </w:tabs>
        <w:spacing w:line="279" w:lineRule="exact"/>
        <w:jc w:val="both"/>
      </w:pPr>
      <w:r>
        <w:t>Exercises accountability individually and for</w:t>
      </w:r>
      <w:r>
        <w:rPr>
          <w:spacing w:val="-14"/>
        </w:rPr>
        <w:t xml:space="preserve"> </w:t>
      </w:r>
      <w:r>
        <w:t>colleagues</w:t>
      </w:r>
    </w:p>
    <w:p w14:paraId="1FBE26DE" w14:textId="77777777" w:rsidR="007164E5" w:rsidRDefault="00E24016" w:rsidP="00433B6F">
      <w:pPr>
        <w:pStyle w:val="ListParagraph"/>
        <w:numPr>
          <w:ilvl w:val="0"/>
          <w:numId w:val="2"/>
        </w:numPr>
        <w:tabs>
          <w:tab w:val="left" w:pos="1181"/>
        </w:tabs>
        <w:spacing w:line="279" w:lineRule="exact"/>
        <w:jc w:val="both"/>
      </w:pPr>
      <w:r>
        <w:t>Demonstrates a lifelong commitment to</w:t>
      </w:r>
      <w:r>
        <w:rPr>
          <w:spacing w:val="-14"/>
        </w:rPr>
        <w:t xml:space="preserve"> </w:t>
      </w:r>
      <w:r>
        <w:t>excellence</w:t>
      </w:r>
    </w:p>
    <w:p w14:paraId="5CE5E285" w14:textId="77777777" w:rsidR="007164E5" w:rsidRDefault="00E24016" w:rsidP="00433B6F">
      <w:pPr>
        <w:pStyle w:val="ListParagraph"/>
        <w:numPr>
          <w:ilvl w:val="0"/>
          <w:numId w:val="2"/>
        </w:numPr>
        <w:tabs>
          <w:tab w:val="left" w:pos="1181"/>
        </w:tabs>
        <w:jc w:val="both"/>
      </w:pPr>
      <w:r>
        <w:t>Exhibits a commitment to scholarship and to advancing their</w:t>
      </w:r>
      <w:r>
        <w:rPr>
          <w:spacing w:val="-26"/>
        </w:rPr>
        <w:t xml:space="preserve"> </w:t>
      </w:r>
      <w:r>
        <w:t>field</w:t>
      </w:r>
    </w:p>
    <w:p w14:paraId="7A2FFA47" w14:textId="77777777" w:rsidR="007164E5" w:rsidRDefault="00E24016" w:rsidP="00433B6F">
      <w:pPr>
        <w:pStyle w:val="ListParagraph"/>
        <w:numPr>
          <w:ilvl w:val="0"/>
          <w:numId w:val="2"/>
        </w:numPr>
        <w:tabs>
          <w:tab w:val="left" w:pos="1181"/>
        </w:tabs>
        <w:jc w:val="both"/>
      </w:pPr>
      <w:r>
        <w:t>Deals appropriately with high levels of complexity and</w:t>
      </w:r>
      <w:r>
        <w:rPr>
          <w:spacing w:val="-20"/>
        </w:rPr>
        <w:t xml:space="preserve"> </w:t>
      </w:r>
      <w:r>
        <w:t>uncertainty</w:t>
      </w:r>
    </w:p>
    <w:p w14:paraId="1DA18090" w14:textId="77777777" w:rsidR="007164E5" w:rsidRDefault="00E24016" w:rsidP="00433B6F">
      <w:pPr>
        <w:pStyle w:val="ListParagraph"/>
        <w:numPr>
          <w:ilvl w:val="0"/>
          <w:numId w:val="2"/>
        </w:numPr>
        <w:tabs>
          <w:tab w:val="left" w:pos="1181"/>
        </w:tabs>
        <w:spacing w:line="279" w:lineRule="exact"/>
        <w:jc w:val="both"/>
      </w:pPr>
      <w:r>
        <w:t>Reflects upon actions and</w:t>
      </w:r>
      <w:r>
        <w:rPr>
          <w:spacing w:val="-4"/>
        </w:rPr>
        <w:t xml:space="preserve"> </w:t>
      </w:r>
      <w:r>
        <w:t>decisions</w:t>
      </w:r>
    </w:p>
    <w:p w14:paraId="57CDD713" w14:textId="77777777" w:rsidR="007164E5" w:rsidRDefault="00E24016" w:rsidP="00433B6F">
      <w:pPr>
        <w:pStyle w:val="ListParagraph"/>
        <w:numPr>
          <w:ilvl w:val="0"/>
          <w:numId w:val="2"/>
        </w:numPr>
        <w:tabs>
          <w:tab w:val="left" w:pos="1181"/>
        </w:tabs>
        <w:spacing w:line="279" w:lineRule="exact"/>
        <w:jc w:val="both"/>
      </w:pPr>
      <w:r>
        <w:t>Assures one’s own fitness for</w:t>
      </w:r>
      <w:r>
        <w:rPr>
          <w:spacing w:val="-4"/>
        </w:rPr>
        <w:t xml:space="preserve"> </w:t>
      </w:r>
      <w:r>
        <w:t>duty</w:t>
      </w:r>
    </w:p>
    <w:p w14:paraId="0EC0C7AD" w14:textId="77777777" w:rsidR="007164E5" w:rsidRDefault="007164E5" w:rsidP="00433B6F">
      <w:pPr>
        <w:pStyle w:val="BodyText"/>
        <w:jc w:val="both"/>
      </w:pPr>
    </w:p>
    <w:p w14:paraId="14B8EE2C" w14:textId="77777777" w:rsidR="007164E5" w:rsidRDefault="00E24016" w:rsidP="00433B6F">
      <w:pPr>
        <w:pStyle w:val="BodyText"/>
        <w:ind w:left="100" w:right="208"/>
        <w:jc w:val="both"/>
      </w:pPr>
      <w:r>
        <w:t>None of these behaviors proscribes healthy discourse or thoughtful disagreement. This statement does not seek to homogenize the academic environment, but instead underscores our commitment to respectful behavior.</w:t>
      </w:r>
    </w:p>
    <w:p w14:paraId="1595DBEA" w14:textId="77777777" w:rsidR="007164E5" w:rsidRDefault="007164E5" w:rsidP="00433B6F">
      <w:pPr>
        <w:pStyle w:val="BodyText"/>
        <w:jc w:val="both"/>
      </w:pPr>
    </w:p>
    <w:p w14:paraId="31224FE3" w14:textId="77777777" w:rsidR="007164E5" w:rsidRDefault="00E24016" w:rsidP="00433B6F">
      <w:pPr>
        <w:pStyle w:val="BodyText"/>
        <w:ind w:left="100" w:right="86"/>
        <w:jc w:val="both"/>
      </w:pPr>
      <w:r>
        <w:t>Examples of unprofessional behavior that might be addressed through this statement (and are not clearly covered by other resources) include inappropriate fiscal management, overtly disrespectful behavior, bullying subordinates, and engaging in questionable research practices that generally do not meet criteria for scientific misconduct, such as maintaining inadequate research records, especially for results relied on by others; appropriating research ideas or intellectual property of others; refusing to provide reasonable access to research materials or data that support published papers; releasing research results without sufficient data to allow peers to judge the validity of the results or reproduce the experiments; and neglecting to appropriately supervise others in work for which the faculty member is responsible.</w:t>
      </w:r>
    </w:p>
    <w:p w14:paraId="0C5F93EE" w14:textId="77777777" w:rsidR="005A3066" w:rsidRPr="005A3066" w:rsidRDefault="005A3066" w:rsidP="00433B6F">
      <w:pPr>
        <w:pStyle w:val="BodyText"/>
        <w:spacing w:before="37"/>
        <w:ind w:right="312"/>
        <w:jc w:val="both"/>
        <w:rPr>
          <w:sz w:val="14"/>
        </w:rPr>
      </w:pPr>
    </w:p>
    <w:p w14:paraId="49BACA7B" w14:textId="77777777" w:rsidR="007164E5" w:rsidRPr="005A3066" w:rsidRDefault="00E24016" w:rsidP="00433B6F">
      <w:pPr>
        <w:pStyle w:val="BodyText"/>
        <w:spacing w:before="37"/>
        <w:ind w:right="312"/>
        <w:jc w:val="both"/>
        <w:rPr>
          <w:sz w:val="20"/>
        </w:rPr>
      </w:pPr>
      <w:r>
        <w:t>*</w:t>
      </w:r>
      <w:r w:rsidRPr="005A3066">
        <w:rPr>
          <w:sz w:val="20"/>
        </w:rPr>
        <w:t>References</w:t>
      </w:r>
      <w:r w:rsidR="001677A5" w:rsidRPr="005A3066">
        <w:rPr>
          <w:sz w:val="20"/>
        </w:rPr>
        <w:t>:</w:t>
      </w:r>
      <w:r w:rsidR="00190C9A">
        <w:rPr>
          <w:sz w:val="20"/>
        </w:rPr>
        <w:t xml:space="preserve"> </w:t>
      </w:r>
      <w:r w:rsidRPr="005A3066">
        <w:rPr>
          <w:sz w:val="20"/>
        </w:rPr>
        <w:t>Swick HM. Toward a Normative Definition of Medical Professionalism. Academic Medicine 2000; 75(6) 612</w:t>
      </w:r>
    </w:p>
    <w:p w14:paraId="1DF6B34B" w14:textId="77777777" w:rsidR="005A3066" w:rsidRDefault="005A3066" w:rsidP="00433B6F">
      <w:pPr>
        <w:pStyle w:val="BodyText"/>
        <w:spacing w:line="267" w:lineRule="exact"/>
        <w:ind w:left="220" w:right="312"/>
        <w:jc w:val="both"/>
        <w:rPr>
          <w:u w:val="single"/>
        </w:rPr>
      </w:pPr>
    </w:p>
    <w:p w14:paraId="02A6B972" w14:textId="77777777" w:rsidR="001B2947" w:rsidRDefault="001B2947" w:rsidP="00433B6F">
      <w:pPr>
        <w:pStyle w:val="BodyText"/>
        <w:spacing w:line="267" w:lineRule="exact"/>
        <w:ind w:left="220" w:right="312"/>
        <w:jc w:val="both"/>
        <w:rPr>
          <w:u w:val="single"/>
        </w:rPr>
      </w:pPr>
    </w:p>
    <w:p w14:paraId="7825155D" w14:textId="77777777" w:rsidR="00EA6C5A" w:rsidRDefault="00EA6C5A" w:rsidP="001B2947">
      <w:pPr>
        <w:pStyle w:val="BodyText"/>
        <w:spacing w:line="267" w:lineRule="exact"/>
        <w:ind w:right="312"/>
        <w:jc w:val="both"/>
        <w:rPr>
          <w:u w:val="single"/>
        </w:rPr>
      </w:pPr>
    </w:p>
    <w:p w14:paraId="1C48F939" w14:textId="77119243" w:rsidR="007164E5" w:rsidRDefault="00E24016" w:rsidP="001B2947">
      <w:pPr>
        <w:pStyle w:val="BodyText"/>
        <w:spacing w:line="267" w:lineRule="exact"/>
        <w:ind w:right="312"/>
        <w:jc w:val="both"/>
      </w:pPr>
      <w:r>
        <w:rPr>
          <w:u w:val="single"/>
        </w:rPr>
        <w:lastRenderedPageBreak/>
        <w:t>Process for reporting violations or concerns about unprofessional faculty behavior</w:t>
      </w:r>
    </w:p>
    <w:p w14:paraId="368DC34B" w14:textId="77777777" w:rsidR="007164E5" w:rsidRDefault="00E24016" w:rsidP="001B2947">
      <w:pPr>
        <w:pStyle w:val="BodyText"/>
        <w:ind w:right="146"/>
        <w:jc w:val="both"/>
      </w:pPr>
      <w:r>
        <w:t>Concerns about disruptive behavior are ideally raised directly with the offending person, as s/he may be unaware of how their behavior is affecting others. A suggested framework for providing this type of feedback is included in Appendix C. If this is unsafe or does not resolve the issue, the concern should be reported to the next level of institutional authority, such as the division chief, department chair or unit director. In addition, other resources are available, including School of Medicine leadership, the Compliance Offices, the Faculty Ombuds, the Student Ombuds, the Office for Institutional Equity and Duke Personal Assistance Service. These are listed in Appendix A below.</w:t>
      </w:r>
    </w:p>
    <w:p w14:paraId="7789E7F0" w14:textId="77777777" w:rsidR="007164E5" w:rsidRDefault="007164E5" w:rsidP="00433B6F">
      <w:pPr>
        <w:pStyle w:val="BodyText"/>
        <w:jc w:val="both"/>
      </w:pPr>
    </w:p>
    <w:p w14:paraId="0093DE46" w14:textId="77777777" w:rsidR="007164E5" w:rsidRDefault="00E24016" w:rsidP="001B2947">
      <w:pPr>
        <w:pStyle w:val="BodyText"/>
        <w:ind w:right="101"/>
        <w:jc w:val="both"/>
      </w:pPr>
      <w:r>
        <w:t>It is expected that most faculty behavioral issues will be resolved at the personal, division or department level. But when this is inappropriate, is unsuccessful, or when any party to the issue is uncomfortable with such an attempt, assistance from the Dean’s Office may be requested. Certain faculty matters, including some egregious or illegal behavior, may escalate directly to the Dean’s Office. In either case, and whenever possible, the Dean’s Office will work with the unit director to resolve or respond to the issue. If the Dean determines that a peer review is appropriate, s/he may refer the matter to the Dean’s Advisory Council on Faculty Conduct, described in Appendix B below. It is important to note that the Council is not meant to replace existing departmental and institutional resources, but will provide a mechanism for a peer review of faculty conduct when that conduct falls outside the scope of existing resources (see Appendix A “Resources” below).</w:t>
      </w:r>
    </w:p>
    <w:p w14:paraId="43C2CF1D" w14:textId="77777777" w:rsidR="007164E5" w:rsidRDefault="007164E5" w:rsidP="00433B6F">
      <w:pPr>
        <w:pStyle w:val="BodyText"/>
        <w:jc w:val="both"/>
      </w:pPr>
    </w:p>
    <w:p w14:paraId="48339A9D" w14:textId="7061DB9D" w:rsidR="001B2947" w:rsidRPr="004362AD" w:rsidRDefault="00E24016" w:rsidP="001B2947">
      <w:pPr>
        <w:jc w:val="both"/>
        <w:rPr>
          <w:rFonts w:asciiTheme="minorHAnsi" w:hAnsiTheme="minorHAnsi" w:cstheme="minorHAnsi"/>
        </w:rPr>
      </w:pPr>
      <w:r w:rsidRPr="004362AD">
        <w:t xml:space="preserve">Concerns may also be reported through the </w:t>
      </w:r>
      <w:r w:rsidR="00AA4D28" w:rsidRPr="004362AD">
        <w:t xml:space="preserve">Duke Health </w:t>
      </w:r>
      <w:r w:rsidRPr="004362AD">
        <w:rPr>
          <w:u w:val="single"/>
        </w:rPr>
        <w:t xml:space="preserve">Integrity in Action </w:t>
      </w:r>
      <w:r w:rsidR="00F61F52" w:rsidRPr="004362AD">
        <w:rPr>
          <w:u w:val="single"/>
        </w:rPr>
        <w:t>and Speak Up Program Hotline</w:t>
      </w:r>
      <w:r w:rsidR="001B2947" w:rsidRPr="004362AD">
        <w:t>.  This line</w:t>
      </w:r>
      <w:r w:rsidR="004362AD">
        <w:t xml:space="preserve"> </w:t>
      </w:r>
      <w:r w:rsidR="001B2947" w:rsidRPr="004362AD">
        <w:t>is</w:t>
      </w:r>
      <w:r w:rsidR="004362AD">
        <w:t xml:space="preserve"> </w:t>
      </w:r>
      <w:r w:rsidRPr="004362AD">
        <w:t xml:space="preserve">available 24/7/365 to report any concerns, including concerns about unprofessional faculty conduct. Information from calls to this line is transferred in written form to the </w:t>
      </w:r>
      <w:r w:rsidR="00874A90" w:rsidRPr="004362AD">
        <w:t xml:space="preserve">appropriate compliance office (either the Duke Office of Audit Risk and Compliance or the </w:t>
      </w:r>
      <w:r w:rsidRPr="004362AD">
        <w:t>DUHS Compliance Office</w:t>
      </w:r>
      <w:r w:rsidR="00874A90" w:rsidRPr="004362AD">
        <w:t>)</w:t>
      </w:r>
      <w:r w:rsidRPr="004362AD">
        <w:t>. Concerns are reviewed by a compliance officer, and when appropriate, referred to the relevant office(s) to follow up. Concerns about unprofessional faculty behavior that are received through this line will be referred, in most cases, to the Dean’s office. Follow up actions will be determined in consultation with the appropriate unit leader on a case by case basis.</w:t>
      </w:r>
      <w:r w:rsidR="001B2947" w:rsidRPr="004362AD">
        <w:t xml:space="preserve">  </w:t>
      </w:r>
      <w:r w:rsidR="001B2947" w:rsidRPr="004362AD">
        <w:rPr>
          <w:rFonts w:asciiTheme="minorHAnsi" w:hAnsiTheme="minorHAnsi" w:cstheme="minorHAnsi"/>
        </w:rPr>
        <w:t xml:space="preserve">You may also use the online form </w:t>
      </w:r>
      <w:hyperlink r:id="rId12" w:history="1">
        <w:r w:rsidR="001B2947" w:rsidRPr="004362AD">
          <w:rPr>
            <w:rStyle w:val="Hyperlink"/>
            <w:rFonts w:asciiTheme="minorHAnsi" w:hAnsiTheme="minorHAnsi" w:cstheme="minorHAnsi"/>
          </w:rPr>
          <w:t>Speak Up Reporting</w:t>
        </w:r>
      </w:hyperlink>
      <w:r w:rsidR="001B2947" w:rsidRPr="004362AD">
        <w:rPr>
          <w:rStyle w:val="Hyperlink"/>
          <w:rFonts w:asciiTheme="minorHAnsi" w:hAnsiTheme="minorHAnsi" w:cstheme="minorHAnsi"/>
          <w:u w:val="none"/>
        </w:rPr>
        <w:t xml:space="preserve"> </w:t>
      </w:r>
      <w:r w:rsidR="001B2947" w:rsidRPr="004362AD">
        <w:rPr>
          <w:rFonts w:asciiTheme="minorHAnsi" w:hAnsiTheme="minorHAnsi" w:cstheme="minorHAnsi"/>
        </w:rPr>
        <w:t xml:space="preserve">to report your concern anonymously. </w:t>
      </w:r>
    </w:p>
    <w:p w14:paraId="23906168" w14:textId="66BBA847" w:rsidR="007164E5" w:rsidRPr="004362AD" w:rsidRDefault="007164E5" w:rsidP="00433B6F">
      <w:pPr>
        <w:pStyle w:val="BodyText"/>
        <w:ind w:left="220" w:right="146"/>
        <w:jc w:val="both"/>
      </w:pPr>
    </w:p>
    <w:p w14:paraId="0CCFE543" w14:textId="38EF5E78" w:rsidR="007164E5" w:rsidRPr="004362AD" w:rsidRDefault="00E24016" w:rsidP="001B2947">
      <w:pPr>
        <w:pStyle w:val="BodyText"/>
        <w:ind w:right="113"/>
        <w:jc w:val="both"/>
      </w:pPr>
      <w:r w:rsidRPr="004362AD">
        <w:t xml:space="preserve">Reports to the </w:t>
      </w:r>
      <w:r w:rsidR="00874A90" w:rsidRPr="004362AD">
        <w:t xml:space="preserve">hotline and online form </w:t>
      </w:r>
      <w:r w:rsidRPr="004362AD">
        <w:t xml:space="preserve">can be made anonymously. However, efforts to address disruptive behavior are generally more effective when the available details, including people affected, are as specific as possible. When it is safe to do so, reporters are encouraged to identify themselves, </w:t>
      </w:r>
      <w:r w:rsidR="00874A90" w:rsidRPr="004362AD">
        <w:t>or provide a way they may be contacted to</w:t>
      </w:r>
      <w:r w:rsidRPr="004362AD">
        <w:t xml:space="preserve"> answer additional questions that may come up as the complaint is investigated. </w:t>
      </w:r>
      <w:r w:rsidR="00874A90" w:rsidRPr="004362AD">
        <w:t>Callers to the hotline are always provided with a callback code and date so they may receive any additional information provided by the relevant compliance office and so they may provide additional information if needed. Those submitting a concern via the online form are encouraged to provide contact information should there be follow up questions.</w:t>
      </w:r>
    </w:p>
    <w:p w14:paraId="1126F4C5" w14:textId="1E88EA28" w:rsidR="00B86D26" w:rsidRPr="004362AD" w:rsidRDefault="00B86D26" w:rsidP="00433B6F">
      <w:pPr>
        <w:pStyle w:val="BodyText"/>
        <w:ind w:left="220" w:right="113"/>
        <w:jc w:val="both"/>
      </w:pPr>
    </w:p>
    <w:p w14:paraId="058BCA0A" w14:textId="0555D44B" w:rsidR="00B86D26" w:rsidRDefault="00B86D26" w:rsidP="001B2947">
      <w:pPr>
        <w:pStyle w:val="BodyText"/>
        <w:ind w:right="113"/>
        <w:jc w:val="both"/>
      </w:pPr>
      <w:r w:rsidRPr="004362AD">
        <w:t xml:space="preserve">We speak up when words, behaviors or actions are not consistent with our values. </w:t>
      </w:r>
      <w:r w:rsidR="00DE6C80" w:rsidRPr="004362AD">
        <w:t>If you witness or are asked to participate in actions that are not consistent with our values, tell someone. Ask your supervisor or department head for advice.</w:t>
      </w:r>
      <w:r w:rsidR="00DE6C80">
        <w:t xml:space="preserve"> </w:t>
      </w:r>
    </w:p>
    <w:p w14:paraId="48BE01E9" w14:textId="3C5C181E" w:rsidR="00DE6C80" w:rsidRDefault="00DE6C80" w:rsidP="00433B6F">
      <w:pPr>
        <w:pStyle w:val="BodyText"/>
        <w:ind w:left="220" w:right="113"/>
        <w:jc w:val="both"/>
      </w:pPr>
    </w:p>
    <w:p w14:paraId="341613E3" w14:textId="7C1AC96F" w:rsidR="00DE6C80" w:rsidRDefault="00DE6C80" w:rsidP="001B2947">
      <w:pPr>
        <w:pStyle w:val="BodyText"/>
        <w:ind w:right="113"/>
        <w:jc w:val="both"/>
      </w:pPr>
      <w:r w:rsidRPr="009D3529">
        <w:rPr>
          <w:u w:val="single"/>
        </w:rPr>
        <w:t>Other Ways to Report Concerns</w:t>
      </w:r>
      <w:r w:rsidR="008D610A">
        <w:t xml:space="preserve">: </w:t>
      </w:r>
    </w:p>
    <w:p w14:paraId="0707DE3B" w14:textId="77777777" w:rsidR="008D610A" w:rsidRDefault="00DE6C80" w:rsidP="001B2947">
      <w:pPr>
        <w:pStyle w:val="BodyText"/>
        <w:ind w:right="113"/>
        <w:jc w:val="both"/>
      </w:pPr>
      <w:r>
        <w:t>Duke Hospital Safety Reporting System</w:t>
      </w:r>
    </w:p>
    <w:p w14:paraId="560438E9" w14:textId="13FDD53E" w:rsidR="00DE6C80" w:rsidRDefault="004A4B32" w:rsidP="001B2947">
      <w:pPr>
        <w:pStyle w:val="BodyText"/>
        <w:ind w:right="113"/>
        <w:jc w:val="both"/>
      </w:pPr>
      <w:hyperlink r:id="rId13" w:history="1">
        <w:r w:rsidR="00D971AE" w:rsidRPr="007D77DE">
          <w:rPr>
            <w:rStyle w:val="Hyperlink"/>
          </w:rPr>
          <w:t>https://intranet.dh.duke.edu/</w:t>
        </w:r>
      </w:hyperlink>
    </w:p>
    <w:p w14:paraId="1E2B2092" w14:textId="77777777" w:rsidR="009D3529" w:rsidRDefault="009D3529" w:rsidP="001B2947">
      <w:pPr>
        <w:pStyle w:val="BodyText"/>
        <w:ind w:right="113"/>
        <w:jc w:val="both"/>
      </w:pPr>
    </w:p>
    <w:p w14:paraId="3D94495F" w14:textId="66A1FD4F" w:rsidR="008D610A" w:rsidRDefault="00B8551A" w:rsidP="001B2947">
      <w:pPr>
        <w:pStyle w:val="BodyText"/>
        <w:ind w:right="113"/>
        <w:jc w:val="both"/>
      </w:pPr>
      <w:r>
        <w:t xml:space="preserve">Duke University Hospital Patient Relations Department </w:t>
      </w:r>
    </w:p>
    <w:p w14:paraId="1E6B38E8" w14:textId="5F92F143" w:rsidR="00DE6C80" w:rsidRDefault="004A4B32" w:rsidP="001B2947">
      <w:pPr>
        <w:pStyle w:val="BodyText"/>
        <w:ind w:right="113"/>
        <w:jc w:val="both"/>
      </w:pPr>
      <w:hyperlink r:id="rId14" w:history="1">
        <w:r w:rsidR="00B8551A" w:rsidRPr="00692DBC">
          <w:rPr>
            <w:rStyle w:val="Hyperlink"/>
          </w:rPr>
          <w:t>patientvisitorrelations@dm.duke.edu</w:t>
        </w:r>
      </w:hyperlink>
    </w:p>
    <w:p w14:paraId="2A276270" w14:textId="66FA190E" w:rsidR="008D610A" w:rsidRDefault="008D610A" w:rsidP="001B2947">
      <w:pPr>
        <w:pStyle w:val="BodyText"/>
        <w:ind w:right="113"/>
        <w:jc w:val="both"/>
      </w:pPr>
      <w:r>
        <w:t>919-681-2020</w:t>
      </w:r>
    </w:p>
    <w:p w14:paraId="3D5E0DD5" w14:textId="11C1DF57" w:rsidR="00EA6C5A" w:rsidRDefault="00EA6C5A" w:rsidP="00EA6C5A">
      <w:pPr>
        <w:pStyle w:val="BodyText"/>
        <w:spacing w:before="18"/>
        <w:ind w:left="108"/>
      </w:pPr>
    </w:p>
    <w:p w14:paraId="125A9B98" w14:textId="35E21576" w:rsidR="00EA6C5A" w:rsidRPr="00EA6C5A" w:rsidRDefault="00EA6C5A" w:rsidP="00EA6C5A">
      <w:pPr>
        <w:pStyle w:val="BodyText"/>
        <w:spacing w:before="18"/>
        <w:rPr>
          <w:b/>
        </w:rPr>
      </w:pPr>
      <w:r w:rsidRPr="00EA6C5A">
        <w:rPr>
          <w:b/>
        </w:rPr>
        <w:t>Non-Retribution: Duke policy, and in many cases federal law, protects individuals bringing such concerns forward in good faith from any retaliation and/or retribution.</w:t>
      </w:r>
    </w:p>
    <w:p w14:paraId="71B68237" w14:textId="7780D1E0" w:rsidR="00C65060" w:rsidRPr="005A3066" w:rsidRDefault="00C65060" w:rsidP="00433B6F">
      <w:pPr>
        <w:pStyle w:val="BodyText"/>
        <w:jc w:val="both"/>
        <w:rPr>
          <w:rFonts w:asciiTheme="minorHAnsi" w:hAnsiTheme="minorHAnsi" w:cstheme="minorHAnsi"/>
          <w:b/>
          <w:u w:val="single"/>
        </w:rPr>
      </w:pPr>
      <w:r w:rsidRPr="005A3066">
        <w:rPr>
          <w:rFonts w:asciiTheme="minorHAnsi" w:hAnsiTheme="minorHAnsi" w:cstheme="minorHAnsi"/>
          <w:b/>
          <w:u w:val="single"/>
        </w:rPr>
        <w:lastRenderedPageBreak/>
        <w:t>Appendix A</w:t>
      </w:r>
    </w:p>
    <w:p w14:paraId="51A6B601" w14:textId="77777777" w:rsidR="00B86D26" w:rsidRDefault="00C65060" w:rsidP="00433B6F">
      <w:pPr>
        <w:pStyle w:val="BodyText"/>
        <w:jc w:val="both"/>
        <w:rPr>
          <w:rFonts w:asciiTheme="minorHAnsi" w:hAnsiTheme="minorHAnsi" w:cstheme="minorHAnsi"/>
        </w:rPr>
      </w:pPr>
      <w:r w:rsidRPr="005A3066">
        <w:rPr>
          <w:rFonts w:asciiTheme="minorHAnsi" w:hAnsiTheme="minorHAnsi" w:cstheme="minorHAnsi"/>
        </w:rPr>
        <w:t xml:space="preserve">The following institutional resources help support a culture of professionalism within the School of Medicine.  This is not a complete list, but is designed to guide you toward people and documents who can help manage any incidents of unprofessional behavior. </w:t>
      </w:r>
    </w:p>
    <w:p w14:paraId="5A213F41" w14:textId="77777777" w:rsidR="00B86D26" w:rsidRDefault="00B86D26" w:rsidP="00433B6F">
      <w:pPr>
        <w:pStyle w:val="BodyText"/>
        <w:jc w:val="both"/>
        <w:rPr>
          <w:rFonts w:asciiTheme="minorHAnsi" w:hAnsiTheme="minorHAnsi" w:cstheme="minorHAnsi"/>
        </w:rPr>
      </w:pPr>
    </w:p>
    <w:p w14:paraId="01AE7A82" w14:textId="3D2B7DBA" w:rsidR="007164E5" w:rsidRPr="005A3066" w:rsidRDefault="00B86D26" w:rsidP="00D971AE">
      <w:pPr>
        <w:jc w:val="both"/>
        <w:rPr>
          <w:rFonts w:asciiTheme="minorHAnsi" w:hAnsiTheme="minorHAnsi" w:cstheme="minorHAnsi"/>
        </w:rPr>
      </w:pPr>
      <w:r w:rsidRPr="004362AD">
        <w:rPr>
          <w:rFonts w:asciiTheme="minorHAnsi" w:hAnsiTheme="minorHAnsi" w:cstheme="minorHAnsi"/>
        </w:rPr>
        <w:t>You can report a concern anytime via Duke’s Integrity in Action and Speak Up Program.  Contact 800-826-8109 to discuss your question or report your concern.  The toll-free number</w:t>
      </w:r>
      <w:r w:rsidR="00874A90" w:rsidRPr="004362AD">
        <w:rPr>
          <w:rFonts w:asciiTheme="minorHAnsi" w:hAnsiTheme="minorHAnsi" w:cstheme="minorHAnsi"/>
        </w:rPr>
        <w:t xml:space="preserve"> is administered by a third party, Compliance Line and</w:t>
      </w:r>
      <w:r w:rsidRPr="004362AD">
        <w:rPr>
          <w:rFonts w:asciiTheme="minorHAnsi" w:hAnsiTheme="minorHAnsi" w:cstheme="minorHAnsi"/>
        </w:rPr>
        <w:t xml:space="preserve"> is a confidential and anonymous, if you choose, service provided 24 hours per day, 365 days per year. </w:t>
      </w:r>
      <w:r w:rsidR="00DE6C80" w:rsidRPr="004362AD">
        <w:rPr>
          <w:rFonts w:asciiTheme="minorHAnsi" w:hAnsiTheme="minorHAnsi" w:cstheme="minorHAnsi"/>
        </w:rPr>
        <w:t xml:space="preserve"> You may also use th</w:t>
      </w:r>
      <w:r w:rsidR="00D971AE" w:rsidRPr="004362AD">
        <w:rPr>
          <w:rFonts w:asciiTheme="minorHAnsi" w:hAnsiTheme="minorHAnsi" w:cstheme="minorHAnsi"/>
        </w:rPr>
        <w:t xml:space="preserve">e </w:t>
      </w:r>
      <w:r w:rsidR="00DE6C80" w:rsidRPr="004362AD">
        <w:rPr>
          <w:rFonts w:asciiTheme="minorHAnsi" w:hAnsiTheme="minorHAnsi" w:cstheme="minorHAnsi"/>
        </w:rPr>
        <w:t>online form</w:t>
      </w:r>
      <w:r w:rsidRPr="004362AD">
        <w:rPr>
          <w:rFonts w:asciiTheme="minorHAnsi" w:hAnsiTheme="minorHAnsi" w:cstheme="minorHAnsi"/>
        </w:rPr>
        <w:t xml:space="preserve"> </w:t>
      </w:r>
      <w:hyperlink r:id="rId15" w:history="1">
        <w:r w:rsidR="00D971AE" w:rsidRPr="004362AD">
          <w:rPr>
            <w:rStyle w:val="Hyperlink"/>
            <w:rFonts w:asciiTheme="minorHAnsi" w:hAnsiTheme="minorHAnsi" w:cstheme="minorHAnsi"/>
          </w:rPr>
          <w:t>Speak Up Reporting</w:t>
        </w:r>
      </w:hyperlink>
      <w:r w:rsidR="00D971AE" w:rsidRPr="004362AD">
        <w:rPr>
          <w:rStyle w:val="Hyperlink"/>
          <w:rFonts w:asciiTheme="minorHAnsi" w:hAnsiTheme="minorHAnsi" w:cstheme="minorHAnsi"/>
          <w:u w:val="none"/>
        </w:rPr>
        <w:t xml:space="preserve"> </w:t>
      </w:r>
      <w:r w:rsidRPr="004362AD">
        <w:rPr>
          <w:rFonts w:asciiTheme="minorHAnsi" w:hAnsiTheme="minorHAnsi" w:cstheme="minorHAnsi"/>
        </w:rPr>
        <w:t>to report your concern anonymously.</w:t>
      </w:r>
      <w:r>
        <w:rPr>
          <w:rFonts w:asciiTheme="minorHAnsi" w:hAnsiTheme="minorHAnsi" w:cstheme="minorHAnsi"/>
        </w:rPr>
        <w:t xml:space="preserve"> </w:t>
      </w:r>
    </w:p>
    <w:p w14:paraId="1D9E90E4" w14:textId="77777777" w:rsidR="00C65060" w:rsidRPr="005A3066" w:rsidRDefault="00C65060" w:rsidP="00433B6F">
      <w:pPr>
        <w:pStyle w:val="BodyText"/>
        <w:jc w:val="both"/>
        <w:rPr>
          <w:rFonts w:asciiTheme="minorHAnsi" w:hAnsiTheme="minorHAnsi" w:cstheme="minorHAnsi"/>
        </w:rPr>
      </w:pPr>
    </w:p>
    <w:p w14:paraId="67292F21" w14:textId="0CCC0043" w:rsidR="00C65060" w:rsidRPr="005A3066" w:rsidRDefault="004A4B32" w:rsidP="00433B6F">
      <w:pPr>
        <w:pStyle w:val="BodyText"/>
        <w:jc w:val="both"/>
        <w:rPr>
          <w:rFonts w:asciiTheme="minorHAnsi" w:hAnsiTheme="minorHAnsi" w:cstheme="minorHAnsi"/>
          <w:b/>
        </w:rPr>
      </w:pPr>
      <w:hyperlink r:id="rId16" w:history="1">
        <w:r w:rsidR="00C65060" w:rsidRPr="00543093">
          <w:rPr>
            <w:rStyle w:val="Hyperlink"/>
            <w:rFonts w:asciiTheme="minorHAnsi" w:hAnsiTheme="minorHAnsi" w:cstheme="minorHAnsi"/>
            <w:b/>
          </w:rPr>
          <w:t>Office for Institutional Equity</w:t>
        </w:r>
      </w:hyperlink>
      <w:r w:rsidR="00C65060" w:rsidRPr="005A3066">
        <w:rPr>
          <w:rFonts w:asciiTheme="minorHAnsi" w:hAnsiTheme="minorHAnsi" w:cstheme="minorHAnsi"/>
          <w:b/>
        </w:rPr>
        <w:t xml:space="preserve"> (OIE)</w:t>
      </w:r>
    </w:p>
    <w:p w14:paraId="3201ED97" w14:textId="77777777" w:rsidR="00C65060" w:rsidRPr="005A3066" w:rsidRDefault="00C65060" w:rsidP="00433B6F">
      <w:pPr>
        <w:pStyle w:val="BodyText"/>
        <w:jc w:val="both"/>
        <w:rPr>
          <w:rFonts w:asciiTheme="minorHAnsi" w:hAnsiTheme="minorHAnsi" w:cstheme="minorHAnsi"/>
        </w:rPr>
      </w:pPr>
      <w:r w:rsidRPr="005A3066">
        <w:rPr>
          <w:rFonts w:asciiTheme="minorHAnsi" w:hAnsiTheme="minorHAnsi" w:cstheme="minorHAnsi"/>
        </w:rPr>
        <w:t xml:space="preserve">Concerns about harassment, compliance in the areas of equal opportunity or affirmative action should be directed to OIE. </w:t>
      </w:r>
    </w:p>
    <w:p w14:paraId="0F048337" w14:textId="77777777" w:rsidR="00C65060" w:rsidRPr="005A3066" w:rsidRDefault="00C65060" w:rsidP="00433B6F">
      <w:pPr>
        <w:pStyle w:val="BodyText"/>
        <w:ind w:left="720"/>
        <w:jc w:val="both"/>
        <w:rPr>
          <w:rFonts w:asciiTheme="minorHAnsi" w:hAnsiTheme="minorHAnsi" w:cstheme="minorHAnsi"/>
        </w:rPr>
      </w:pPr>
    </w:p>
    <w:p w14:paraId="3B2A81CA" w14:textId="20BB9CCC" w:rsidR="00C65060" w:rsidRPr="005A3066" w:rsidRDefault="004A4B32" w:rsidP="00433B6F">
      <w:pPr>
        <w:pStyle w:val="BodyText"/>
        <w:jc w:val="both"/>
        <w:rPr>
          <w:rFonts w:asciiTheme="minorHAnsi" w:hAnsiTheme="minorHAnsi" w:cstheme="minorHAnsi"/>
        </w:rPr>
      </w:pPr>
      <w:hyperlink r:id="rId17" w:history="1">
        <w:r w:rsidR="00C65060" w:rsidRPr="00543093">
          <w:rPr>
            <w:rStyle w:val="Hyperlink"/>
            <w:rFonts w:asciiTheme="minorHAnsi" w:hAnsiTheme="minorHAnsi" w:cstheme="minorHAnsi"/>
            <w:b/>
          </w:rPr>
          <w:t>Ombud</w:t>
        </w:r>
        <w:r w:rsidR="00543093" w:rsidRPr="00543093">
          <w:rPr>
            <w:rStyle w:val="Hyperlink"/>
            <w:rFonts w:asciiTheme="minorHAnsi" w:hAnsiTheme="minorHAnsi" w:cstheme="minorHAnsi"/>
            <w:b/>
          </w:rPr>
          <w:t>s Office</w:t>
        </w:r>
      </w:hyperlink>
      <w:r w:rsidR="00C65060" w:rsidRPr="005A3066">
        <w:rPr>
          <w:rFonts w:asciiTheme="minorHAnsi" w:hAnsiTheme="minorHAnsi" w:cstheme="minorHAnsi"/>
        </w:rPr>
        <w:t xml:space="preserve"> – The </w:t>
      </w:r>
      <w:r w:rsidR="00543093">
        <w:rPr>
          <w:rFonts w:asciiTheme="minorHAnsi" w:hAnsiTheme="minorHAnsi" w:cstheme="minorHAnsi"/>
        </w:rPr>
        <w:t xml:space="preserve">Duke </w:t>
      </w:r>
      <w:r w:rsidR="00C65060" w:rsidRPr="005A3066">
        <w:rPr>
          <w:rFonts w:asciiTheme="minorHAnsi" w:hAnsiTheme="minorHAnsi" w:cstheme="minorHAnsi"/>
        </w:rPr>
        <w:t>Ombuds offer</w:t>
      </w:r>
      <w:r w:rsidR="00543093">
        <w:rPr>
          <w:rFonts w:asciiTheme="minorHAnsi" w:hAnsiTheme="minorHAnsi" w:cstheme="minorHAnsi"/>
        </w:rPr>
        <w:t>s</w:t>
      </w:r>
      <w:r w:rsidR="00C65060" w:rsidRPr="005A3066">
        <w:rPr>
          <w:rFonts w:asciiTheme="minorHAnsi" w:hAnsiTheme="minorHAnsi" w:cstheme="minorHAnsi"/>
        </w:rPr>
        <w:t xml:space="preserve"> neutral and confidential guidance on a variety of issues </w:t>
      </w:r>
      <w:r w:rsidR="00543093">
        <w:rPr>
          <w:rFonts w:asciiTheme="minorHAnsi" w:hAnsiTheme="minorHAnsi" w:cstheme="minorHAnsi"/>
        </w:rPr>
        <w:t>to faculty and students</w:t>
      </w:r>
      <w:r w:rsidR="00C65060" w:rsidRPr="005A3066">
        <w:rPr>
          <w:rFonts w:asciiTheme="minorHAnsi" w:hAnsiTheme="minorHAnsi" w:cstheme="minorHAnsi"/>
        </w:rPr>
        <w:t xml:space="preserve">. </w:t>
      </w:r>
    </w:p>
    <w:p w14:paraId="68C1EDAF" w14:textId="77777777" w:rsidR="00C65060" w:rsidRPr="005A3066" w:rsidRDefault="00C65060" w:rsidP="00433B6F">
      <w:pPr>
        <w:pStyle w:val="BodyText"/>
        <w:jc w:val="both"/>
        <w:rPr>
          <w:rFonts w:asciiTheme="minorHAnsi" w:hAnsiTheme="minorHAnsi" w:cstheme="minorHAnsi"/>
        </w:rPr>
      </w:pPr>
      <w:r w:rsidRPr="005A3066">
        <w:rPr>
          <w:rFonts w:asciiTheme="minorHAnsi" w:hAnsiTheme="minorHAnsi" w:cstheme="minorHAnsi"/>
        </w:rPr>
        <w:tab/>
      </w:r>
    </w:p>
    <w:p w14:paraId="2875252A" w14:textId="799480C2" w:rsidR="00C65060" w:rsidRPr="005A3066" w:rsidRDefault="004A4B32" w:rsidP="00433B6F">
      <w:pPr>
        <w:pStyle w:val="BodyText"/>
        <w:jc w:val="both"/>
        <w:rPr>
          <w:rFonts w:asciiTheme="minorHAnsi" w:hAnsiTheme="minorHAnsi" w:cstheme="minorHAnsi"/>
          <w:b/>
        </w:rPr>
      </w:pPr>
      <w:hyperlink r:id="rId18" w:history="1">
        <w:r w:rsidR="00EA6994" w:rsidRPr="00543093">
          <w:rPr>
            <w:rStyle w:val="Hyperlink"/>
            <w:rFonts w:asciiTheme="minorHAnsi" w:hAnsiTheme="minorHAnsi" w:cstheme="minorHAnsi"/>
            <w:b/>
          </w:rPr>
          <w:t xml:space="preserve">Office of </w:t>
        </w:r>
        <w:r w:rsidR="00543093" w:rsidRPr="00543093">
          <w:rPr>
            <w:rStyle w:val="Hyperlink"/>
            <w:rFonts w:asciiTheme="minorHAnsi" w:hAnsiTheme="minorHAnsi" w:cstheme="minorHAnsi"/>
            <w:b/>
          </w:rPr>
          <w:t xml:space="preserve">Equity, </w:t>
        </w:r>
        <w:r w:rsidR="00EA6994" w:rsidRPr="00543093">
          <w:rPr>
            <w:rStyle w:val="Hyperlink"/>
            <w:rFonts w:asciiTheme="minorHAnsi" w:hAnsiTheme="minorHAnsi" w:cstheme="minorHAnsi"/>
            <w:b/>
          </w:rPr>
          <w:t>Diversity &amp; Inclusion</w:t>
        </w:r>
      </w:hyperlink>
      <w:r w:rsidR="00EA6994" w:rsidRPr="005A3066">
        <w:rPr>
          <w:rFonts w:asciiTheme="minorHAnsi" w:hAnsiTheme="minorHAnsi" w:cstheme="minorHAnsi"/>
        </w:rPr>
        <w:t xml:space="preserve"> </w:t>
      </w:r>
      <w:r w:rsidR="00EA6994" w:rsidRPr="005A3066">
        <w:rPr>
          <w:rFonts w:asciiTheme="minorHAnsi" w:hAnsiTheme="minorHAnsi" w:cstheme="minorHAnsi"/>
          <w:b/>
        </w:rPr>
        <w:t>(</w:t>
      </w:r>
      <w:r w:rsidR="00543093">
        <w:rPr>
          <w:rFonts w:asciiTheme="minorHAnsi" w:hAnsiTheme="minorHAnsi" w:cstheme="minorHAnsi"/>
          <w:b/>
        </w:rPr>
        <w:t>E</w:t>
      </w:r>
      <w:r w:rsidR="00EA6994" w:rsidRPr="005A3066">
        <w:rPr>
          <w:rFonts w:asciiTheme="minorHAnsi" w:hAnsiTheme="minorHAnsi" w:cstheme="minorHAnsi"/>
          <w:b/>
        </w:rPr>
        <w:t>DI)</w:t>
      </w:r>
    </w:p>
    <w:p w14:paraId="5B147E7D" w14:textId="71F1642E" w:rsidR="00EA6994" w:rsidRPr="005A3066" w:rsidRDefault="00543093" w:rsidP="00433B6F">
      <w:pPr>
        <w:pStyle w:val="BodyText"/>
        <w:jc w:val="both"/>
        <w:rPr>
          <w:rFonts w:asciiTheme="minorHAnsi" w:hAnsiTheme="minorHAnsi" w:cstheme="minorHAnsi"/>
        </w:rPr>
      </w:pPr>
      <w:r>
        <w:rPr>
          <w:rFonts w:asciiTheme="minorHAnsi" w:hAnsiTheme="minorHAnsi" w:cstheme="minorHAnsi"/>
        </w:rPr>
        <w:t xml:space="preserve">The Office of Equity, Diversity &amp; Inclusion works to build a climate where all members of our faculty, students and staff experience a true sense of belonging and feel that they matter, can thrive and contribute their best work. </w:t>
      </w:r>
    </w:p>
    <w:p w14:paraId="3C457134" w14:textId="77777777" w:rsidR="00EA6994" w:rsidRPr="005A3066" w:rsidRDefault="00EA6994" w:rsidP="00433B6F">
      <w:pPr>
        <w:pStyle w:val="BodyText"/>
        <w:jc w:val="both"/>
        <w:rPr>
          <w:rFonts w:asciiTheme="minorHAnsi" w:hAnsiTheme="minorHAnsi" w:cstheme="minorHAnsi"/>
        </w:rPr>
      </w:pPr>
    </w:p>
    <w:p w14:paraId="4F14B207" w14:textId="77777777" w:rsidR="00EA6994" w:rsidRPr="005A3066" w:rsidRDefault="004A4B32" w:rsidP="00433B6F">
      <w:pPr>
        <w:pStyle w:val="BodyText"/>
        <w:jc w:val="both"/>
        <w:rPr>
          <w:rFonts w:asciiTheme="minorHAnsi" w:hAnsiTheme="minorHAnsi" w:cstheme="minorHAnsi"/>
          <w:b/>
        </w:rPr>
      </w:pPr>
      <w:hyperlink r:id="rId19" w:history="1">
        <w:r w:rsidR="00EA6994" w:rsidRPr="005A3066">
          <w:rPr>
            <w:rStyle w:val="Hyperlink"/>
            <w:rFonts w:asciiTheme="minorHAnsi" w:hAnsiTheme="minorHAnsi" w:cstheme="minorHAnsi"/>
            <w:b/>
          </w:rPr>
          <w:t>Personal Assistance Service</w:t>
        </w:r>
      </w:hyperlink>
      <w:r w:rsidR="00EA6994" w:rsidRPr="005A3066">
        <w:rPr>
          <w:rFonts w:asciiTheme="minorHAnsi" w:hAnsiTheme="minorHAnsi" w:cstheme="minorHAnsi"/>
          <w:b/>
        </w:rPr>
        <w:t xml:space="preserve"> (PAS)</w:t>
      </w:r>
    </w:p>
    <w:p w14:paraId="67FEA416"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This is a resources for faculty, staff and their immediate family members to receive free and confidential short term counseling.  The staff at PAS can help with personal or work related issues.</w:t>
      </w:r>
    </w:p>
    <w:p w14:paraId="2EE9CF43"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919-416-1PAS</w:t>
      </w:r>
    </w:p>
    <w:p w14:paraId="5AC10D10" w14:textId="77777777" w:rsidR="00EA6994" w:rsidRPr="005A3066" w:rsidRDefault="00EA6994" w:rsidP="00433B6F">
      <w:pPr>
        <w:pStyle w:val="BodyText"/>
        <w:jc w:val="both"/>
        <w:rPr>
          <w:rFonts w:asciiTheme="minorHAnsi" w:hAnsiTheme="minorHAnsi" w:cstheme="minorHAnsi"/>
        </w:rPr>
      </w:pPr>
    </w:p>
    <w:p w14:paraId="3B1F02D8" w14:textId="41B188E5" w:rsidR="00EA6994" w:rsidRPr="005A3066" w:rsidRDefault="004A4B32" w:rsidP="00433B6F">
      <w:pPr>
        <w:pStyle w:val="BodyText"/>
        <w:jc w:val="both"/>
        <w:rPr>
          <w:rFonts w:asciiTheme="minorHAnsi" w:hAnsiTheme="minorHAnsi" w:cstheme="minorHAnsi"/>
          <w:b/>
        </w:rPr>
      </w:pPr>
      <w:hyperlink r:id="rId20" w:history="1">
        <w:r w:rsidR="00EA6994" w:rsidRPr="005A3066">
          <w:rPr>
            <w:rStyle w:val="Hyperlink"/>
            <w:rFonts w:asciiTheme="minorHAnsi" w:hAnsiTheme="minorHAnsi" w:cstheme="minorHAnsi"/>
            <w:b/>
          </w:rPr>
          <w:t>Employee Occupational Health &amp; Wellness</w:t>
        </w:r>
      </w:hyperlink>
      <w:r w:rsidR="00EA6994" w:rsidRPr="005A3066">
        <w:rPr>
          <w:rFonts w:asciiTheme="minorHAnsi" w:hAnsiTheme="minorHAnsi" w:cstheme="minorHAnsi"/>
          <w:b/>
        </w:rPr>
        <w:t xml:space="preserve"> (EOHW)</w:t>
      </w:r>
    </w:p>
    <w:p w14:paraId="2FBCDEC1" w14:textId="68788E75" w:rsidR="00EA6994" w:rsidRDefault="00EA6994" w:rsidP="00433B6F">
      <w:pPr>
        <w:pStyle w:val="BodyText"/>
        <w:jc w:val="both"/>
        <w:rPr>
          <w:rFonts w:asciiTheme="minorHAnsi" w:hAnsiTheme="minorHAnsi" w:cstheme="minorHAnsi"/>
        </w:rPr>
      </w:pPr>
      <w:r w:rsidRPr="005A3066">
        <w:rPr>
          <w:rFonts w:asciiTheme="minorHAnsi" w:hAnsiTheme="minorHAnsi" w:cstheme="minorHAnsi"/>
        </w:rPr>
        <w:t>919-684-3136 (option #2)</w:t>
      </w:r>
    </w:p>
    <w:p w14:paraId="73FE1BB5" w14:textId="77777777" w:rsidR="00543093" w:rsidRPr="005A3066" w:rsidRDefault="00543093" w:rsidP="00433B6F">
      <w:pPr>
        <w:pStyle w:val="BodyText"/>
        <w:jc w:val="both"/>
        <w:rPr>
          <w:rFonts w:asciiTheme="minorHAnsi" w:hAnsiTheme="minorHAnsi" w:cstheme="minorHAnsi"/>
        </w:rPr>
      </w:pPr>
    </w:p>
    <w:p w14:paraId="367856E3" w14:textId="77777777" w:rsidR="00EA6994" w:rsidRPr="005A3066" w:rsidRDefault="004A4B32" w:rsidP="00433B6F">
      <w:pPr>
        <w:pStyle w:val="BodyText"/>
        <w:jc w:val="both"/>
        <w:rPr>
          <w:rFonts w:asciiTheme="minorHAnsi" w:hAnsiTheme="minorHAnsi" w:cstheme="minorHAnsi"/>
          <w:b/>
        </w:rPr>
      </w:pPr>
      <w:hyperlink r:id="rId21" w:history="1">
        <w:r w:rsidR="00EA6994" w:rsidRPr="005A3066">
          <w:rPr>
            <w:rStyle w:val="Hyperlink"/>
            <w:rFonts w:asciiTheme="minorHAnsi" w:hAnsiTheme="minorHAnsi" w:cstheme="minorHAnsi"/>
            <w:b/>
          </w:rPr>
          <w:t>Duke University Hospital System Professional Accountability</w:t>
        </w:r>
      </w:hyperlink>
      <w:r w:rsidR="00EA6994" w:rsidRPr="005A3066">
        <w:rPr>
          <w:rFonts w:asciiTheme="minorHAnsi" w:hAnsiTheme="minorHAnsi" w:cstheme="minorHAnsi"/>
          <w:b/>
        </w:rPr>
        <w:t xml:space="preserve"> (PACT)</w:t>
      </w:r>
    </w:p>
    <w:p w14:paraId="41AA15B6" w14:textId="77777777" w:rsidR="00EA6994" w:rsidRPr="005A3066" w:rsidRDefault="001677A5" w:rsidP="00433B6F">
      <w:pPr>
        <w:pStyle w:val="BodyText"/>
        <w:jc w:val="both"/>
        <w:rPr>
          <w:rFonts w:asciiTheme="minorHAnsi" w:hAnsiTheme="minorHAnsi" w:cstheme="minorHAnsi"/>
        </w:rPr>
      </w:pPr>
      <w:r w:rsidRPr="005A3066">
        <w:rPr>
          <w:rFonts w:asciiTheme="minorHAnsi" w:hAnsiTheme="minorHAnsi" w:cstheme="minorHAnsi"/>
        </w:rPr>
        <w:t xml:space="preserve">Scope: </w:t>
      </w:r>
      <w:r w:rsidR="00EA6994" w:rsidRPr="005A3066">
        <w:rPr>
          <w:rFonts w:asciiTheme="minorHAnsi" w:hAnsiTheme="minorHAnsi" w:cstheme="minorHAnsi"/>
        </w:rPr>
        <w:t>Designed to promote the highest standards of professional conduct and ethical behavior and support the delivery of high quality patient-centered care through improved communication and teamwork.</w:t>
      </w:r>
    </w:p>
    <w:p w14:paraId="350FB964"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r>
    </w:p>
    <w:p w14:paraId="3747F5BD"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t>William J. Richardson, MD, Co-Director</w:t>
      </w:r>
    </w:p>
    <w:p w14:paraId="5EAB2747"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r>
      <w:hyperlink r:id="rId22" w:history="1">
        <w:r w:rsidRPr="005A3066">
          <w:rPr>
            <w:rStyle w:val="Hyperlink"/>
            <w:rFonts w:asciiTheme="minorHAnsi" w:hAnsiTheme="minorHAnsi" w:cstheme="minorHAnsi"/>
          </w:rPr>
          <w:t>william.richardson@duke.edu</w:t>
        </w:r>
      </w:hyperlink>
    </w:p>
    <w:p w14:paraId="670EC3E7"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t>919-684-5711</w:t>
      </w:r>
    </w:p>
    <w:p w14:paraId="3C7E7173" w14:textId="77777777" w:rsidR="00EA6994" w:rsidRPr="005A3066" w:rsidRDefault="00EA6994" w:rsidP="00433B6F">
      <w:pPr>
        <w:pStyle w:val="BodyText"/>
        <w:jc w:val="both"/>
        <w:rPr>
          <w:rFonts w:asciiTheme="minorHAnsi" w:hAnsiTheme="minorHAnsi" w:cstheme="minorHAnsi"/>
        </w:rPr>
      </w:pPr>
    </w:p>
    <w:p w14:paraId="59D31E45"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t>Diana McNeill, MD, Co-Director</w:t>
      </w:r>
    </w:p>
    <w:p w14:paraId="133D2093"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r>
      <w:hyperlink r:id="rId23" w:history="1">
        <w:r w:rsidRPr="005A3066">
          <w:rPr>
            <w:rStyle w:val="Hyperlink"/>
            <w:rFonts w:asciiTheme="minorHAnsi" w:hAnsiTheme="minorHAnsi" w:cstheme="minorHAnsi"/>
          </w:rPr>
          <w:t>diana.mcneill@duke.edu</w:t>
        </w:r>
      </w:hyperlink>
    </w:p>
    <w:p w14:paraId="2B176346"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t>919-684-6800</w:t>
      </w:r>
    </w:p>
    <w:p w14:paraId="3B482CED" w14:textId="77777777" w:rsidR="00EA6994" w:rsidRPr="005A3066" w:rsidRDefault="00EA6994" w:rsidP="00433B6F">
      <w:pPr>
        <w:pStyle w:val="BodyText"/>
        <w:jc w:val="both"/>
        <w:rPr>
          <w:rFonts w:asciiTheme="minorHAnsi" w:hAnsiTheme="minorHAnsi" w:cstheme="minorHAnsi"/>
        </w:rPr>
      </w:pPr>
    </w:p>
    <w:p w14:paraId="5AF05849"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t>Cynthia Gordon, RN, Administrative Director</w:t>
      </w:r>
    </w:p>
    <w:p w14:paraId="5177E0B4"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ab/>
      </w:r>
      <w:hyperlink r:id="rId24" w:history="1">
        <w:r w:rsidRPr="005A3066">
          <w:rPr>
            <w:rStyle w:val="Hyperlink"/>
            <w:rFonts w:asciiTheme="minorHAnsi" w:hAnsiTheme="minorHAnsi" w:cstheme="minorHAnsi"/>
          </w:rPr>
          <w:t>cynthia.gordon@duke.edu</w:t>
        </w:r>
      </w:hyperlink>
    </w:p>
    <w:p w14:paraId="7EF440B7" w14:textId="1A5B6033" w:rsidR="00EA6994" w:rsidRDefault="00EA6994" w:rsidP="00433B6F">
      <w:pPr>
        <w:pStyle w:val="BodyText"/>
        <w:jc w:val="both"/>
        <w:rPr>
          <w:rFonts w:asciiTheme="minorHAnsi" w:hAnsiTheme="minorHAnsi" w:cstheme="minorHAnsi"/>
        </w:rPr>
      </w:pPr>
      <w:r w:rsidRPr="005A3066">
        <w:rPr>
          <w:rFonts w:asciiTheme="minorHAnsi" w:hAnsiTheme="minorHAnsi" w:cstheme="minorHAnsi"/>
        </w:rPr>
        <w:tab/>
        <w:t>919-681-3906</w:t>
      </w:r>
    </w:p>
    <w:p w14:paraId="3E864C89" w14:textId="4132EC9A" w:rsidR="00EA6C5A" w:rsidRDefault="00EA6C5A" w:rsidP="00433B6F">
      <w:pPr>
        <w:pStyle w:val="BodyText"/>
        <w:jc w:val="both"/>
        <w:rPr>
          <w:rFonts w:asciiTheme="minorHAnsi" w:hAnsiTheme="minorHAnsi" w:cstheme="minorHAnsi"/>
        </w:rPr>
      </w:pPr>
    </w:p>
    <w:p w14:paraId="6682296B" w14:textId="77777777" w:rsidR="00EA6C5A" w:rsidRPr="006A4827" w:rsidRDefault="004A4B32" w:rsidP="00EA6C5A">
      <w:pPr>
        <w:pStyle w:val="BodyText"/>
        <w:jc w:val="both"/>
        <w:rPr>
          <w:rFonts w:asciiTheme="minorHAnsi" w:hAnsiTheme="minorHAnsi" w:cstheme="minorHAnsi"/>
          <w:b/>
        </w:rPr>
      </w:pPr>
      <w:hyperlink r:id="rId25" w:history="1">
        <w:r w:rsidR="00EA6C5A" w:rsidRPr="006A4827">
          <w:rPr>
            <w:rStyle w:val="Hyperlink"/>
            <w:rFonts w:asciiTheme="minorHAnsi" w:hAnsiTheme="minorHAnsi" w:cstheme="minorHAnsi"/>
            <w:b/>
          </w:rPr>
          <w:t>DUHS Compliance Office</w:t>
        </w:r>
      </w:hyperlink>
    </w:p>
    <w:p w14:paraId="2A7BC9CF" w14:textId="77777777" w:rsidR="00EA6C5A" w:rsidRDefault="00EA6C5A" w:rsidP="00EA6C5A">
      <w:pPr>
        <w:pStyle w:val="BodyText"/>
        <w:jc w:val="both"/>
        <w:rPr>
          <w:rFonts w:asciiTheme="minorHAnsi" w:hAnsiTheme="minorHAnsi" w:cstheme="minorHAnsi"/>
        </w:rPr>
      </w:pPr>
      <w:r>
        <w:rPr>
          <w:rFonts w:asciiTheme="minorHAnsi" w:hAnsiTheme="minorHAnsi" w:cstheme="minorHAnsi"/>
        </w:rPr>
        <w:t>Scope: Joint Commission, Patient Privacy</w:t>
      </w:r>
    </w:p>
    <w:p w14:paraId="69F9DF2A" w14:textId="77777777" w:rsidR="00EA6C5A" w:rsidRDefault="004A4B32" w:rsidP="00EA6C5A">
      <w:pPr>
        <w:pStyle w:val="BodyText"/>
        <w:jc w:val="both"/>
        <w:rPr>
          <w:rFonts w:asciiTheme="minorHAnsi" w:hAnsiTheme="minorHAnsi" w:cstheme="minorHAnsi"/>
        </w:rPr>
      </w:pPr>
      <w:hyperlink r:id="rId26" w:history="1">
        <w:r w:rsidR="00EA6C5A" w:rsidRPr="00890457">
          <w:rPr>
            <w:rStyle w:val="Hyperlink"/>
            <w:rFonts w:asciiTheme="minorHAnsi" w:hAnsiTheme="minorHAnsi" w:cstheme="minorHAnsi"/>
          </w:rPr>
          <w:t>compliance@dm.duke.edu</w:t>
        </w:r>
      </w:hyperlink>
    </w:p>
    <w:p w14:paraId="31F34DB6" w14:textId="71C900D6" w:rsidR="00EA6C5A" w:rsidRDefault="00EA6C5A" w:rsidP="00EA6C5A">
      <w:pPr>
        <w:pStyle w:val="BodyText"/>
        <w:jc w:val="both"/>
        <w:rPr>
          <w:rFonts w:asciiTheme="minorHAnsi" w:hAnsiTheme="minorHAnsi" w:cstheme="minorHAnsi"/>
        </w:rPr>
      </w:pPr>
      <w:r>
        <w:rPr>
          <w:rFonts w:asciiTheme="minorHAnsi" w:hAnsiTheme="minorHAnsi" w:cstheme="minorHAnsi"/>
        </w:rPr>
        <w:t>919-668-2573</w:t>
      </w:r>
    </w:p>
    <w:p w14:paraId="473207E7" w14:textId="77777777" w:rsidR="00FC47C2" w:rsidRDefault="00FC47C2" w:rsidP="00EA6C5A">
      <w:pPr>
        <w:pStyle w:val="BodyText"/>
        <w:jc w:val="both"/>
        <w:rPr>
          <w:rFonts w:asciiTheme="minorHAnsi" w:hAnsiTheme="minorHAnsi" w:cstheme="minorHAnsi"/>
        </w:rPr>
      </w:pPr>
    </w:p>
    <w:p w14:paraId="7B6398D3" w14:textId="77777777" w:rsidR="00EA6994" w:rsidRPr="005A3066" w:rsidRDefault="00EA6994" w:rsidP="00433B6F">
      <w:pPr>
        <w:pStyle w:val="BodyText"/>
        <w:jc w:val="both"/>
        <w:rPr>
          <w:rFonts w:asciiTheme="minorHAnsi" w:hAnsiTheme="minorHAnsi" w:cstheme="minorHAnsi"/>
        </w:rPr>
      </w:pPr>
    </w:p>
    <w:p w14:paraId="36EAC9AB" w14:textId="77777777" w:rsidR="00EA6994" w:rsidRPr="004362AD" w:rsidRDefault="004A4B32" w:rsidP="00433B6F">
      <w:pPr>
        <w:pStyle w:val="BodyText"/>
        <w:jc w:val="both"/>
        <w:rPr>
          <w:rFonts w:asciiTheme="minorHAnsi" w:hAnsiTheme="minorHAnsi" w:cstheme="minorHAnsi"/>
          <w:b/>
        </w:rPr>
      </w:pPr>
      <w:hyperlink r:id="rId27" w:history="1">
        <w:r w:rsidR="00EA6994" w:rsidRPr="004362AD">
          <w:rPr>
            <w:rStyle w:val="Hyperlink"/>
            <w:rFonts w:asciiTheme="minorHAnsi" w:hAnsiTheme="minorHAnsi" w:cstheme="minorHAnsi"/>
            <w:b/>
          </w:rPr>
          <w:t>Duke University Office of Audit, Risk and Compliance Office</w:t>
        </w:r>
      </w:hyperlink>
      <w:r w:rsidR="00EA6994" w:rsidRPr="004362AD">
        <w:rPr>
          <w:rFonts w:asciiTheme="minorHAnsi" w:hAnsiTheme="minorHAnsi" w:cstheme="minorHAnsi"/>
          <w:b/>
        </w:rPr>
        <w:t xml:space="preserve"> (OARC)</w:t>
      </w:r>
    </w:p>
    <w:p w14:paraId="68477811" w14:textId="294B17F6" w:rsidR="00EA6994" w:rsidRPr="004362AD" w:rsidRDefault="004A4B32" w:rsidP="00433B6F">
      <w:pPr>
        <w:pStyle w:val="BodyText"/>
        <w:jc w:val="both"/>
        <w:rPr>
          <w:rFonts w:asciiTheme="minorHAnsi" w:hAnsiTheme="minorHAnsi" w:cstheme="minorHAnsi"/>
        </w:rPr>
      </w:pPr>
      <w:hyperlink r:id="rId28" w:history="1">
        <w:r w:rsidR="00AB67D2" w:rsidRPr="004362AD">
          <w:rPr>
            <w:rStyle w:val="Hyperlink"/>
            <w:rFonts w:asciiTheme="minorHAnsi" w:hAnsiTheme="minorHAnsi" w:cstheme="minorHAnsi"/>
          </w:rPr>
          <w:t>oarc@duke.edu</w:t>
        </w:r>
      </w:hyperlink>
    </w:p>
    <w:p w14:paraId="64EECC14" w14:textId="77777777" w:rsidR="00EA6994" w:rsidRPr="005A3066" w:rsidRDefault="00EA6994" w:rsidP="00433B6F">
      <w:pPr>
        <w:pStyle w:val="BodyText"/>
        <w:jc w:val="both"/>
        <w:rPr>
          <w:rFonts w:asciiTheme="minorHAnsi" w:hAnsiTheme="minorHAnsi" w:cstheme="minorHAnsi"/>
        </w:rPr>
      </w:pPr>
      <w:r w:rsidRPr="004362AD">
        <w:rPr>
          <w:rFonts w:asciiTheme="minorHAnsi" w:hAnsiTheme="minorHAnsi" w:cstheme="minorHAnsi"/>
        </w:rPr>
        <w:t>919-613-7630</w:t>
      </w:r>
    </w:p>
    <w:p w14:paraId="381813C0" w14:textId="77777777" w:rsidR="00EA6994" w:rsidRPr="005A3066" w:rsidRDefault="00EA6994" w:rsidP="00433B6F">
      <w:pPr>
        <w:pStyle w:val="BodyText"/>
        <w:jc w:val="both"/>
        <w:rPr>
          <w:rFonts w:asciiTheme="minorHAnsi" w:hAnsiTheme="minorHAnsi" w:cstheme="minorHAnsi"/>
        </w:rPr>
      </w:pPr>
    </w:p>
    <w:p w14:paraId="0EBA8997" w14:textId="77777777" w:rsidR="00EA6994" w:rsidRPr="005A3066" w:rsidRDefault="004A4B32" w:rsidP="00433B6F">
      <w:pPr>
        <w:pStyle w:val="BodyText"/>
        <w:jc w:val="both"/>
        <w:rPr>
          <w:rFonts w:asciiTheme="minorHAnsi" w:hAnsiTheme="minorHAnsi" w:cstheme="minorHAnsi"/>
          <w:b/>
        </w:rPr>
      </w:pPr>
      <w:hyperlink r:id="rId29" w:history="1">
        <w:r w:rsidR="00EA6994" w:rsidRPr="005A3066">
          <w:rPr>
            <w:rStyle w:val="Hyperlink"/>
            <w:rFonts w:asciiTheme="minorHAnsi" w:hAnsiTheme="minorHAnsi" w:cstheme="minorHAnsi"/>
            <w:b/>
          </w:rPr>
          <w:t>Scientific Misconduct</w:t>
        </w:r>
      </w:hyperlink>
    </w:p>
    <w:p w14:paraId="253D1B5B" w14:textId="77777777" w:rsidR="00EA6994" w:rsidRPr="005A3066" w:rsidRDefault="004A4B32" w:rsidP="00433B6F">
      <w:pPr>
        <w:pStyle w:val="BodyText"/>
        <w:jc w:val="both"/>
        <w:rPr>
          <w:rFonts w:asciiTheme="minorHAnsi" w:hAnsiTheme="minorHAnsi" w:cstheme="minorHAnsi"/>
        </w:rPr>
      </w:pPr>
      <w:hyperlink r:id="rId30" w:history="1">
        <w:r w:rsidR="00EA6994" w:rsidRPr="005A3066">
          <w:rPr>
            <w:rStyle w:val="Hyperlink"/>
            <w:rFonts w:asciiTheme="minorHAnsi" w:hAnsiTheme="minorHAnsi" w:cstheme="minorHAnsi"/>
          </w:rPr>
          <w:t>donna.kessler@duke.edu</w:t>
        </w:r>
      </w:hyperlink>
    </w:p>
    <w:p w14:paraId="344F400F" w14:textId="77777777" w:rsidR="00EA6994"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919-668-5115</w:t>
      </w:r>
    </w:p>
    <w:p w14:paraId="5F595CA9" w14:textId="77777777" w:rsidR="00EA6994" w:rsidRPr="005A3066" w:rsidRDefault="00EA6994" w:rsidP="00433B6F">
      <w:pPr>
        <w:pStyle w:val="BodyText"/>
        <w:jc w:val="both"/>
        <w:rPr>
          <w:rFonts w:asciiTheme="minorHAnsi" w:hAnsiTheme="minorHAnsi" w:cstheme="minorHAnsi"/>
        </w:rPr>
      </w:pPr>
    </w:p>
    <w:p w14:paraId="024497BD" w14:textId="77777777" w:rsidR="00EA6994" w:rsidRPr="005A3066" w:rsidRDefault="004A4B32" w:rsidP="00433B6F">
      <w:pPr>
        <w:pStyle w:val="BodyText"/>
        <w:jc w:val="both"/>
        <w:rPr>
          <w:rFonts w:asciiTheme="minorHAnsi" w:hAnsiTheme="minorHAnsi" w:cstheme="minorHAnsi"/>
          <w:b/>
        </w:rPr>
      </w:pPr>
      <w:hyperlink r:id="rId31" w:history="1">
        <w:r w:rsidR="00EA6994" w:rsidRPr="005A3066">
          <w:rPr>
            <w:rStyle w:val="Hyperlink"/>
            <w:rFonts w:asciiTheme="minorHAnsi" w:hAnsiTheme="minorHAnsi" w:cstheme="minorHAnsi"/>
            <w:b/>
          </w:rPr>
          <w:t>Conflict of Interest</w:t>
        </w:r>
      </w:hyperlink>
    </w:p>
    <w:p w14:paraId="1C7DE70F" w14:textId="77777777" w:rsidR="00EA6994" w:rsidRPr="005A3066" w:rsidRDefault="004A4B32" w:rsidP="00433B6F">
      <w:pPr>
        <w:pStyle w:val="BodyText"/>
        <w:jc w:val="both"/>
        <w:rPr>
          <w:rFonts w:asciiTheme="minorHAnsi" w:hAnsiTheme="minorHAnsi" w:cstheme="minorHAnsi"/>
        </w:rPr>
      </w:pPr>
      <w:hyperlink r:id="rId32" w:history="1">
        <w:r w:rsidR="00EA6994" w:rsidRPr="005A3066">
          <w:rPr>
            <w:rStyle w:val="Hyperlink"/>
            <w:rFonts w:asciiTheme="minorHAnsi" w:hAnsiTheme="minorHAnsi" w:cstheme="minorHAnsi"/>
          </w:rPr>
          <w:t>dukecoi@dm.duke.edu</w:t>
        </w:r>
      </w:hyperlink>
    </w:p>
    <w:p w14:paraId="2515E32D" w14:textId="77777777" w:rsidR="00C65060" w:rsidRPr="005A3066" w:rsidRDefault="00EA6994" w:rsidP="00433B6F">
      <w:pPr>
        <w:pStyle w:val="BodyText"/>
        <w:jc w:val="both"/>
        <w:rPr>
          <w:rFonts w:asciiTheme="minorHAnsi" w:hAnsiTheme="minorHAnsi" w:cstheme="minorHAnsi"/>
        </w:rPr>
      </w:pPr>
      <w:r w:rsidRPr="005A3066">
        <w:rPr>
          <w:rFonts w:asciiTheme="minorHAnsi" w:hAnsiTheme="minorHAnsi" w:cstheme="minorHAnsi"/>
        </w:rPr>
        <w:t>919-684-3121</w:t>
      </w:r>
    </w:p>
    <w:p w14:paraId="53B8ECB8" w14:textId="77777777" w:rsidR="00EA6994" w:rsidRPr="005A3066" w:rsidRDefault="00EA6994" w:rsidP="00433B6F">
      <w:pPr>
        <w:pStyle w:val="BodyText"/>
        <w:jc w:val="both"/>
        <w:rPr>
          <w:rFonts w:asciiTheme="minorHAnsi" w:hAnsiTheme="minorHAnsi" w:cstheme="minorHAnsi"/>
        </w:rPr>
      </w:pPr>
    </w:p>
    <w:p w14:paraId="785E3199" w14:textId="77777777" w:rsidR="00EA6994" w:rsidRPr="005A3066" w:rsidRDefault="004A4B32" w:rsidP="00433B6F">
      <w:pPr>
        <w:pStyle w:val="BodyText"/>
        <w:jc w:val="both"/>
        <w:rPr>
          <w:rFonts w:asciiTheme="minorHAnsi" w:hAnsiTheme="minorHAnsi" w:cstheme="minorHAnsi"/>
          <w:b/>
          <w:szCs w:val="24"/>
        </w:rPr>
      </w:pPr>
      <w:hyperlink r:id="rId33" w:history="1">
        <w:r w:rsidR="00EA6994" w:rsidRPr="005A3066">
          <w:rPr>
            <w:rStyle w:val="Hyperlink"/>
            <w:rFonts w:asciiTheme="minorHAnsi" w:hAnsiTheme="minorHAnsi" w:cstheme="minorHAnsi"/>
            <w:b/>
            <w:szCs w:val="24"/>
          </w:rPr>
          <w:t>School of Medicine Senior Leadership</w:t>
        </w:r>
      </w:hyperlink>
    </w:p>
    <w:p w14:paraId="50A1A3DB" w14:textId="77777777" w:rsidR="00EA6994" w:rsidRPr="005A3066" w:rsidRDefault="00EA6994" w:rsidP="00433B6F">
      <w:pPr>
        <w:pStyle w:val="BodyText"/>
        <w:jc w:val="both"/>
        <w:rPr>
          <w:rFonts w:asciiTheme="minorHAnsi" w:hAnsiTheme="minorHAnsi" w:cstheme="minorHAnsi"/>
          <w:b/>
          <w:szCs w:val="24"/>
        </w:rPr>
      </w:pPr>
    </w:p>
    <w:p w14:paraId="6417EA57" w14:textId="77777777" w:rsidR="00EA6994" w:rsidRPr="005A3066" w:rsidRDefault="00EA6994" w:rsidP="00433B6F">
      <w:pPr>
        <w:pStyle w:val="BodyText"/>
        <w:jc w:val="both"/>
        <w:rPr>
          <w:rFonts w:asciiTheme="minorHAnsi" w:hAnsiTheme="minorHAnsi" w:cstheme="minorHAnsi"/>
          <w:b/>
          <w:szCs w:val="24"/>
        </w:rPr>
      </w:pPr>
      <w:r w:rsidRPr="005A3066">
        <w:rPr>
          <w:rFonts w:asciiTheme="minorHAnsi" w:hAnsiTheme="minorHAnsi" w:cstheme="minorHAnsi"/>
          <w:b/>
          <w:szCs w:val="24"/>
        </w:rPr>
        <w:t xml:space="preserve">Select </w:t>
      </w:r>
      <w:r w:rsidR="005A3066" w:rsidRPr="005A3066">
        <w:rPr>
          <w:rFonts w:asciiTheme="minorHAnsi" w:hAnsiTheme="minorHAnsi" w:cstheme="minorHAnsi"/>
          <w:b/>
          <w:szCs w:val="24"/>
        </w:rPr>
        <w:t xml:space="preserve">Duke </w:t>
      </w:r>
      <w:r w:rsidRPr="005A3066">
        <w:rPr>
          <w:rFonts w:asciiTheme="minorHAnsi" w:hAnsiTheme="minorHAnsi" w:cstheme="minorHAnsi"/>
          <w:b/>
          <w:szCs w:val="24"/>
        </w:rPr>
        <w:t>Policies</w:t>
      </w:r>
      <w:r w:rsidR="001677A5" w:rsidRPr="005A3066">
        <w:rPr>
          <w:rFonts w:asciiTheme="minorHAnsi" w:hAnsiTheme="minorHAnsi" w:cstheme="minorHAnsi"/>
          <w:b/>
          <w:szCs w:val="24"/>
        </w:rPr>
        <w:t xml:space="preserve"> </w:t>
      </w:r>
    </w:p>
    <w:p w14:paraId="0485E706" w14:textId="77777777" w:rsidR="00EA6994" w:rsidRPr="005A3066" w:rsidRDefault="004A4B32" w:rsidP="00433B6F">
      <w:pPr>
        <w:pStyle w:val="BodyText"/>
        <w:ind w:left="720"/>
        <w:jc w:val="both"/>
        <w:rPr>
          <w:rFonts w:asciiTheme="minorHAnsi" w:hAnsiTheme="minorHAnsi" w:cstheme="minorHAnsi"/>
          <w:szCs w:val="24"/>
        </w:rPr>
      </w:pPr>
      <w:hyperlink r:id="rId34" w:history="1">
        <w:r w:rsidR="00EA6994" w:rsidRPr="005A3066">
          <w:rPr>
            <w:rStyle w:val="Hyperlink"/>
            <w:rFonts w:asciiTheme="minorHAnsi" w:hAnsiTheme="minorHAnsi" w:cstheme="minorHAnsi"/>
            <w:szCs w:val="24"/>
          </w:rPr>
          <w:t>Policy on Prohibited Discrimination, Harassment, and Related Misconduct</w:t>
        </w:r>
      </w:hyperlink>
    </w:p>
    <w:p w14:paraId="1FFC755F" w14:textId="40A458C8" w:rsidR="00EA6994" w:rsidRPr="005A3066" w:rsidRDefault="004A4B32" w:rsidP="00433B6F">
      <w:pPr>
        <w:pStyle w:val="BodyText"/>
        <w:ind w:left="720"/>
        <w:jc w:val="both"/>
        <w:rPr>
          <w:rFonts w:asciiTheme="minorHAnsi" w:hAnsiTheme="minorHAnsi" w:cstheme="minorHAnsi"/>
          <w:szCs w:val="24"/>
        </w:rPr>
      </w:pPr>
      <w:hyperlink r:id="rId35" w:history="1">
        <w:r w:rsidR="00543093" w:rsidRPr="00100CCB">
          <w:rPr>
            <w:rStyle w:val="Hyperlink"/>
            <w:rFonts w:asciiTheme="minorHAnsi" w:hAnsiTheme="minorHAnsi" w:cstheme="minorHAnsi"/>
            <w:szCs w:val="24"/>
          </w:rPr>
          <w:t>Duke Learning Environment &amp; Well Being – Reporting Mistreatment and Misconduct</w:t>
        </w:r>
      </w:hyperlink>
    </w:p>
    <w:p w14:paraId="332F8D16" w14:textId="77777777" w:rsidR="005A3066" w:rsidRPr="005A3066" w:rsidRDefault="005A3066" w:rsidP="00433B6F">
      <w:pPr>
        <w:pStyle w:val="BodyText"/>
        <w:jc w:val="both"/>
        <w:rPr>
          <w:rFonts w:asciiTheme="minorHAnsi" w:hAnsiTheme="minorHAnsi" w:cstheme="minorHAnsi"/>
          <w:szCs w:val="24"/>
        </w:rPr>
      </w:pPr>
    </w:p>
    <w:p w14:paraId="42445B16" w14:textId="77777777" w:rsidR="00EA6994" w:rsidRPr="005A3066" w:rsidRDefault="005A3066" w:rsidP="00433B6F">
      <w:pPr>
        <w:pStyle w:val="BodyText"/>
        <w:jc w:val="both"/>
        <w:rPr>
          <w:rFonts w:asciiTheme="minorHAnsi" w:hAnsiTheme="minorHAnsi" w:cstheme="minorHAnsi"/>
          <w:szCs w:val="24"/>
        </w:rPr>
      </w:pPr>
      <w:r w:rsidRPr="005A3066">
        <w:rPr>
          <w:rFonts w:asciiTheme="minorHAnsi" w:hAnsiTheme="minorHAnsi" w:cstheme="minorHAnsi"/>
          <w:b/>
          <w:szCs w:val="24"/>
        </w:rPr>
        <w:t xml:space="preserve">See the </w:t>
      </w:r>
      <w:hyperlink r:id="rId36" w:history="1">
        <w:r w:rsidRPr="005A3066">
          <w:rPr>
            <w:rStyle w:val="Hyperlink"/>
            <w:rFonts w:asciiTheme="minorHAnsi" w:hAnsiTheme="minorHAnsi" w:cstheme="minorHAnsi"/>
            <w:b/>
            <w:szCs w:val="24"/>
          </w:rPr>
          <w:t>Duke University Faculty Handbook</w:t>
        </w:r>
      </w:hyperlink>
      <w:r w:rsidRPr="005A3066">
        <w:rPr>
          <w:rFonts w:asciiTheme="minorHAnsi" w:hAnsiTheme="minorHAnsi" w:cstheme="minorHAnsi"/>
          <w:b/>
          <w:szCs w:val="24"/>
        </w:rPr>
        <w:t xml:space="preserve"> for</w:t>
      </w:r>
      <w:r w:rsidRPr="005A3066">
        <w:rPr>
          <w:rFonts w:asciiTheme="minorHAnsi" w:hAnsiTheme="minorHAnsi" w:cstheme="minorHAnsi"/>
          <w:szCs w:val="24"/>
        </w:rPr>
        <w:t>:</w:t>
      </w:r>
    </w:p>
    <w:p w14:paraId="53672984" w14:textId="77777777" w:rsidR="001677A5" w:rsidRPr="005A3066" w:rsidRDefault="001677A5" w:rsidP="00433B6F">
      <w:pPr>
        <w:ind w:left="720"/>
        <w:jc w:val="both"/>
        <w:rPr>
          <w:rFonts w:asciiTheme="minorHAnsi" w:hAnsiTheme="minorHAnsi" w:cstheme="minorHAnsi"/>
          <w:szCs w:val="24"/>
        </w:rPr>
      </w:pPr>
      <w:r w:rsidRPr="005A3066">
        <w:rPr>
          <w:rFonts w:asciiTheme="minorHAnsi" w:hAnsiTheme="minorHAnsi" w:cstheme="minorHAnsi"/>
          <w:szCs w:val="24"/>
        </w:rPr>
        <w:t>Policies related to research – Chapter 5</w:t>
      </w:r>
    </w:p>
    <w:p w14:paraId="37B09494" w14:textId="77777777" w:rsidR="001677A5" w:rsidRPr="005A3066" w:rsidRDefault="001677A5" w:rsidP="00433B6F">
      <w:pPr>
        <w:ind w:left="720"/>
        <w:jc w:val="both"/>
        <w:rPr>
          <w:rFonts w:asciiTheme="minorHAnsi" w:hAnsiTheme="minorHAnsi" w:cstheme="minorHAnsi"/>
          <w:szCs w:val="24"/>
        </w:rPr>
      </w:pPr>
      <w:r w:rsidRPr="005A3066">
        <w:rPr>
          <w:rFonts w:asciiTheme="minorHAnsi" w:hAnsiTheme="minorHAnsi" w:cstheme="minorHAnsi"/>
          <w:szCs w:val="24"/>
        </w:rPr>
        <w:t>Conflict of Interest – Appendix O</w:t>
      </w:r>
    </w:p>
    <w:p w14:paraId="0C40D3A0" w14:textId="77777777" w:rsidR="001677A5" w:rsidRPr="005A3066" w:rsidRDefault="001677A5" w:rsidP="00433B6F">
      <w:pPr>
        <w:ind w:left="720"/>
        <w:jc w:val="both"/>
        <w:rPr>
          <w:rFonts w:asciiTheme="minorHAnsi" w:hAnsiTheme="minorHAnsi" w:cstheme="minorHAnsi"/>
          <w:szCs w:val="24"/>
        </w:rPr>
      </w:pPr>
      <w:r w:rsidRPr="005A3066">
        <w:rPr>
          <w:rFonts w:asciiTheme="minorHAnsi" w:hAnsiTheme="minorHAnsi" w:cstheme="minorHAnsi"/>
          <w:szCs w:val="24"/>
        </w:rPr>
        <w:t>Guideline for Authorship and Authorship Dispute Resolution – Appendix P</w:t>
      </w:r>
    </w:p>
    <w:p w14:paraId="2E035D25" w14:textId="77777777" w:rsidR="001677A5" w:rsidRPr="005A3066" w:rsidRDefault="001677A5" w:rsidP="00433B6F">
      <w:pPr>
        <w:ind w:left="720"/>
        <w:jc w:val="both"/>
        <w:rPr>
          <w:rFonts w:asciiTheme="minorHAnsi" w:hAnsiTheme="minorHAnsi" w:cstheme="minorHAnsi"/>
          <w:szCs w:val="24"/>
        </w:rPr>
      </w:pPr>
      <w:r w:rsidRPr="005A3066">
        <w:rPr>
          <w:rFonts w:asciiTheme="minorHAnsi" w:hAnsiTheme="minorHAnsi" w:cstheme="minorHAnsi"/>
          <w:szCs w:val="24"/>
        </w:rPr>
        <w:t>Consensual Relationships – Appendix Z</w:t>
      </w:r>
    </w:p>
    <w:p w14:paraId="52191AE0" w14:textId="77777777" w:rsidR="001677A5" w:rsidRPr="005A3066" w:rsidRDefault="001677A5" w:rsidP="00433B6F">
      <w:pPr>
        <w:pStyle w:val="BodyText"/>
        <w:jc w:val="both"/>
        <w:rPr>
          <w:rFonts w:asciiTheme="minorHAnsi" w:hAnsiTheme="minorHAnsi" w:cstheme="minorHAnsi"/>
          <w:szCs w:val="24"/>
        </w:rPr>
      </w:pPr>
    </w:p>
    <w:p w14:paraId="2828D353" w14:textId="77777777" w:rsidR="001677A5" w:rsidRPr="005A3066" w:rsidRDefault="005A3066" w:rsidP="00433B6F">
      <w:pPr>
        <w:pStyle w:val="BodyText"/>
        <w:jc w:val="both"/>
        <w:rPr>
          <w:rFonts w:asciiTheme="minorHAnsi" w:hAnsiTheme="minorHAnsi" w:cstheme="minorHAnsi"/>
          <w:b/>
          <w:szCs w:val="24"/>
        </w:rPr>
      </w:pPr>
      <w:r w:rsidRPr="005A3066">
        <w:rPr>
          <w:rFonts w:asciiTheme="minorHAnsi" w:hAnsiTheme="minorHAnsi" w:cstheme="minorHAnsi"/>
          <w:b/>
          <w:szCs w:val="24"/>
        </w:rPr>
        <w:t>Select Policies on Faculty Professionalism in Education</w:t>
      </w:r>
    </w:p>
    <w:p w14:paraId="413FE9B9" w14:textId="77777777" w:rsidR="005A3066" w:rsidRPr="005A3066" w:rsidRDefault="004A4B32" w:rsidP="00433B6F">
      <w:pPr>
        <w:jc w:val="both"/>
        <w:rPr>
          <w:rStyle w:val="Hyperlink"/>
          <w:szCs w:val="24"/>
        </w:rPr>
      </w:pPr>
      <w:hyperlink r:id="rId37" w:history="1">
        <w:r w:rsidR="005A3066" w:rsidRPr="005A3066">
          <w:rPr>
            <w:rStyle w:val="Hyperlink"/>
            <w:szCs w:val="24"/>
          </w:rPr>
          <w:t>AAMC Compact Between Resident Physicians and Their Teachers</w:t>
        </w:r>
      </w:hyperlink>
    </w:p>
    <w:p w14:paraId="4BF63E7D" w14:textId="77777777" w:rsidR="005A3066" w:rsidRPr="005A3066" w:rsidRDefault="004A4B32" w:rsidP="00433B6F">
      <w:pPr>
        <w:jc w:val="both"/>
        <w:rPr>
          <w:szCs w:val="24"/>
        </w:rPr>
      </w:pPr>
      <w:hyperlink r:id="rId38" w:history="1">
        <w:r w:rsidR="005A3066" w:rsidRPr="005A3066">
          <w:rPr>
            <w:rStyle w:val="Hyperlink"/>
            <w:szCs w:val="24"/>
          </w:rPr>
          <w:t>ACGME Common Program Requirements – Professionalism expectations of faculty</w:t>
        </w:r>
      </w:hyperlink>
    </w:p>
    <w:p w14:paraId="40C82AE9" w14:textId="77777777" w:rsidR="005A3066" w:rsidRPr="005A3066" w:rsidRDefault="004A4B32" w:rsidP="00433B6F">
      <w:pPr>
        <w:pStyle w:val="TableParagraph"/>
        <w:ind w:left="0" w:right="294"/>
        <w:jc w:val="both"/>
        <w:rPr>
          <w:szCs w:val="24"/>
        </w:rPr>
      </w:pPr>
      <w:hyperlink r:id="rId39" w:history="1">
        <w:r w:rsidR="005A3066" w:rsidRPr="005A3066">
          <w:rPr>
            <w:rStyle w:val="Hyperlink"/>
            <w:szCs w:val="24"/>
          </w:rPr>
          <w:t>North Carolina Medical Board Position Statements: Medical Supervisor–Trainee Relationship</w:t>
        </w:r>
      </w:hyperlink>
      <w:r w:rsidR="005A3066" w:rsidRPr="005A3066">
        <w:rPr>
          <w:szCs w:val="24"/>
        </w:rPr>
        <w:t xml:space="preserve"> </w:t>
      </w:r>
    </w:p>
    <w:p w14:paraId="5A22FCE4" w14:textId="77777777" w:rsidR="005A3066" w:rsidRPr="005A3066" w:rsidRDefault="005A3066" w:rsidP="00433B6F">
      <w:pPr>
        <w:ind w:left="720"/>
        <w:jc w:val="both"/>
        <w:rPr>
          <w:szCs w:val="24"/>
        </w:rPr>
      </w:pPr>
    </w:p>
    <w:p w14:paraId="0B4CA547" w14:textId="77777777" w:rsidR="005A3066" w:rsidRPr="005A3066" w:rsidRDefault="005A3066" w:rsidP="00433B6F">
      <w:pPr>
        <w:pStyle w:val="BodyText"/>
        <w:jc w:val="both"/>
        <w:rPr>
          <w:rFonts w:asciiTheme="minorHAnsi" w:hAnsiTheme="minorHAnsi" w:cstheme="minorHAnsi"/>
        </w:rPr>
        <w:sectPr w:rsidR="005A3066" w:rsidRPr="005A3066" w:rsidSect="00EA6C5A">
          <w:pgSz w:w="12240" w:h="15840"/>
          <w:pgMar w:top="1080" w:right="1080" w:bottom="720" w:left="1080" w:header="720" w:footer="720" w:gutter="0"/>
          <w:cols w:space="720"/>
          <w:docGrid w:linePitch="360"/>
        </w:sectPr>
      </w:pPr>
    </w:p>
    <w:p w14:paraId="166D3E3B" w14:textId="77777777" w:rsidR="007164E5" w:rsidRDefault="00E24016" w:rsidP="00433B6F">
      <w:pPr>
        <w:pStyle w:val="Heading1"/>
        <w:spacing w:before="37"/>
        <w:ind w:left="0"/>
        <w:jc w:val="both"/>
      </w:pPr>
      <w:r>
        <w:rPr>
          <w:u w:val="single"/>
        </w:rPr>
        <w:lastRenderedPageBreak/>
        <w:t>Appendix B</w:t>
      </w:r>
    </w:p>
    <w:p w14:paraId="77F92211" w14:textId="77777777" w:rsidR="007164E5" w:rsidRDefault="00E24016" w:rsidP="00433B6F">
      <w:pPr>
        <w:pStyle w:val="BodyText"/>
        <w:ind w:right="98"/>
        <w:jc w:val="both"/>
      </w:pPr>
      <w:r>
        <w:rPr>
          <w:rFonts w:ascii="Times New Roman" w:hAnsi="Times New Roman"/>
          <w:spacing w:val="-56"/>
          <w:u w:val="single"/>
        </w:rPr>
        <w:t xml:space="preserve"> </w:t>
      </w:r>
      <w:r>
        <w:rPr>
          <w:u w:val="single"/>
        </w:rPr>
        <w:t>Dean’s Advisory Council on Faculty Conduct</w:t>
      </w:r>
    </w:p>
    <w:p w14:paraId="2B9CCEB4" w14:textId="77777777" w:rsidR="007164E5" w:rsidRDefault="00E24016" w:rsidP="00433B6F">
      <w:pPr>
        <w:pStyle w:val="BodyText"/>
        <w:ind w:right="98"/>
        <w:jc w:val="both"/>
      </w:pPr>
      <w:r>
        <w:t>The Dean’s Advisory Council on Faculty Conduct consists of faculty members appointed by the Dean of the School of Medicine, in consultation with the Chairs. At the request of the Dean, the Council will review complaints of unprofessional conduct, and advise the Dean regarding further action. The Council will consider unprofessional or disruptive behavior related to the academic activities of faculty, including those occurring in the context of research, teaching, mentoring and/or administrative activities.</w:t>
      </w:r>
    </w:p>
    <w:p w14:paraId="39B291DA" w14:textId="77777777" w:rsidR="007164E5" w:rsidRDefault="00E24016" w:rsidP="00433B6F">
      <w:pPr>
        <w:pStyle w:val="BodyText"/>
        <w:ind w:right="553"/>
        <w:jc w:val="both"/>
      </w:pPr>
      <w:r>
        <w:t>Concerns relating to conduct in the clinical care setting will generally be managed through Hospital, Health System or PDC processes, and when needed, the Clinical Peer Review Process.</w:t>
      </w:r>
    </w:p>
    <w:p w14:paraId="12923675" w14:textId="77777777" w:rsidR="007164E5" w:rsidRDefault="007164E5" w:rsidP="00433B6F">
      <w:pPr>
        <w:pStyle w:val="BodyText"/>
        <w:jc w:val="both"/>
      </w:pPr>
    </w:p>
    <w:p w14:paraId="0E3FED51" w14:textId="77777777" w:rsidR="007164E5" w:rsidRDefault="00E24016" w:rsidP="00433B6F">
      <w:pPr>
        <w:pStyle w:val="BodyText"/>
        <w:ind w:right="157"/>
        <w:jc w:val="both"/>
      </w:pPr>
      <w:r>
        <w:t>The Council will meet as needed to evaluate cases referred to it by the Dean of the School of Medicine. Each Council member is asked to represent themselves, and is not asked to represent any group or unit. The Vice Dean for Faculty provides administrative oversight of the Council.</w:t>
      </w:r>
    </w:p>
    <w:p w14:paraId="457FE27D" w14:textId="77777777" w:rsidR="007164E5" w:rsidRDefault="007164E5" w:rsidP="00433B6F">
      <w:pPr>
        <w:pStyle w:val="BodyText"/>
        <w:spacing w:before="1"/>
        <w:jc w:val="both"/>
      </w:pPr>
    </w:p>
    <w:p w14:paraId="5620B9BD" w14:textId="77777777" w:rsidR="007164E5" w:rsidRDefault="00E24016" w:rsidP="00433B6F">
      <w:pPr>
        <w:pStyle w:val="BodyText"/>
        <w:ind w:right="181"/>
        <w:jc w:val="both"/>
      </w:pPr>
      <w:r>
        <w:t>Meeting materials will be assembled by the Vice Dean for Faculty and will include source documents, such as letters and reports that provide case facts. The faculty member who is the subject of the complaint will be invited to submit materials for Council review prior to the meeting. Materials must be received by the Vice Dean for Faculty at least 7 days before the meeting. Materials will be delivered to each Council member prior to the meeting. Members are expected to thoroughly review the materials prior to the meeting. All materials are confidential and should not be copied or otherwise redistributed. Materials will be collected at the end of each meeting to protect confidentiality. The meeting time will be used to discuss the case, and develop recommendations to the Dean regarding actions and/or sanctions.</w:t>
      </w:r>
    </w:p>
    <w:p w14:paraId="408269D1" w14:textId="77777777" w:rsidR="007164E5" w:rsidRDefault="007164E5" w:rsidP="00433B6F">
      <w:pPr>
        <w:pStyle w:val="BodyText"/>
        <w:jc w:val="both"/>
      </w:pPr>
    </w:p>
    <w:p w14:paraId="66224ED1" w14:textId="77777777" w:rsidR="007164E5" w:rsidRDefault="00E24016" w:rsidP="00433B6F">
      <w:pPr>
        <w:pStyle w:val="BodyText"/>
        <w:ind w:right="98"/>
        <w:jc w:val="both"/>
      </w:pPr>
      <w:r>
        <w:t>At the meeting, the faculty member will be given the opportunity to provide their perspective on the events in question, and to explain any mitigating circumstances. The faculty member may choose to name an advocate to speak to the Council on their behalf. In that instance, the Vice Dean for Faculty must be notified of the name of the advocate at least 72 hours prior to the meeting. In some situations, the Council may ask an individual familiar with the facts of the case to attend a Council meeting and provide additional information.</w:t>
      </w:r>
    </w:p>
    <w:p w14:paraId="4D36843D" w14:textId="77777777" w:rsidR="007164E5" w:rsidRDefault="007164E5" w:rsidP="00433B6F">
      <w:pPr>
        <w:pStyle w:val="BodyText"/>
        <w:jc w:val="both"/>
      </w:pPr>
    </w:p>
    <w:p w14:paraId="3F7BE99C" w14:textId="77777777" w:rsidR="007164E5" w:rsidRDefault="00E24016" w:rsidP="00433B6F">
      <w:pPr>
        <w:pStyle w:val="BodyText"/>
        <w:ind w:right="98"/>
        <w:jc w:val="both"/>
      </w:pPr>
      <w:r>
        <w:t>Specific questions to resolve during the meeting include:</w:t>
      </w:r>
    </w:p>
    <w:p w14:paraId="0FBDCA29" w14:textId="77777777" w:rsidR="007164E5" w:rsidRDefault="00E24016" w:rsidP="00433B6F">
      <w:pPr>
        <w:pStyle w:val="ListParagraph"/>
        <w:numPr>
          <w:ilvl w:val="0"/>
          <w:numId w:val="2"/>
        </w:numPr>
        <w:tabs>
          <w:tab w:val="left" w:pos="1181"/>
        </w:tabs>
        <w:jc w:val="both"/>
      </w:pPr>
      <w:r>
        <w:t>Does the Council consider the faculty member’s behavior to be</w:t>
      </w:r>
      <w:r>
        <w:rPr>
          <w:spacing w:val="-17"/>
        </w:rPr>
        <w:t xml:space="preserve"> </w:t>
      </w:r>
      <w:r>
        <w:t>unprofessional?</w:t>
      </w:r>
    </w:p>
    <w:p w14:paraId="7F013B1E" w14:textId="77777777" w:rsidR="007164E5" w:rsidRDefault="00E24016" w:rsidP="00433B6F">
      <w:pPr>
        <w:pStyle w:val="ListParagraph"/>
        <w:numPr>
          <w:ilvl w:val="0"/>
          <w:numId w:val="2"/>
        </w:numPr>
        <w:tabs>
          <w:tab w:val="left" w:pos="1181"/>
        </w:tabs>
        <w:spacing w:before="9" w:line="266" w:lineRule="exact"/>
        <w:ind w:right="1195"/>
        <w:jc w:val="both"/>
      </w:pPr>
      <w:r>
        <w:t>Is a “fitness for duty” evaluation by Employee Occupational Health and Wellness appropriate?</w:t>
      </w:r>
    </w:p>
    <w:p w14:paraId="6D45DEE3" w14:textId="77777777" w:rsidR="007164E5" w:rsidRDefault="00E24016" w:rsidP="00433B6F">
      <w:pPr>
        <w:pStyle w:val="ListParagraph"/>
        <w:numPr>
          <w:ilvl w:val="1"/>
          <w:numId w:val="2"/>
        </w:numPr>
        <w:tabs>
          <w:tab w:val="left" w:pos="1901"/>
        </w:tabs>
        <w:spacing w:before="1" w:line="268" w:lineRule="exact"/>
        <w:ind w:right="369"/>
        <w:jc w:val="both"/>
      </w:pPr>
      <w:r>
        <w:t>The EOHW evaluation may, on the judgment of the examiner, result in temporary removal from the work environment, and/or referral for an intervention (e.g. NC Physicians Health Program, Forensic Psychiatry</w:t>
      </w:r>
      <w:r>
        <w:rPr>
          <w:spacing w:val="-23"/>
        </w:rPr>
        <w:t xml:space="preserve"> </w:t>
      </w:r>
      <w:r>
        <w:t>etc).</w:t>
      </w:r>
    </w:p>
    <w:p w14:paraId="2C84A75F" w14:textId="77777777" w:rsidR="007164E5" w:rsidRDefault="00E24016" w:rsidP="00433B6F">
      <w:pPr>
        <w:pStyle w:val="ListParagraph"/>
        <w:numPr>
          <w:ilvl w:val="0"/>
          <w:numId w:val="2"/>
        </w:numPr>
        <w:tabs>
          <w:tab w:val="left" w:pos="1181"/>
        </w:tabs>
        <w:spacing w:before="6"/>
        <w:jc w:val="both"/>
      </w:pPr>
      <w:r>
        <w:t>Should termination proceedings be recommended in response to the faculty’s</w:t>
      </w:r>
      <w:r>
        <w:rPr>
          <w:spacing w:val="-23"/>
        </w:rPr>
        <w:t xml:space="preserve"> </w:t>
      </w:r>
      <w:r>
        <w:t>action?</w:t>
      </w:r>
    </w:p>
    <w:p w14:paraId="7815B98E" w14:textId="77777777" w:rsidR="007164E5" w:rsidRDefault="00E24016" w:rsidP="00433B6F">
      <w:pPr>
        <w:pStyle w:val="ListParagraph"/>
        <w:numPr>
          <w:ilvl w:val="1"/>
          <w:numId w:val="2"/>
        </w:numPr>
        <w:tabs>
          <w:tab w:val="left" w:pos="1901"/>
        </w:tabs>
        <w:spacing w:before="5" w:line="235" w:lineRule="auto"/>
        <w:ind w:right="608"/>
        <w:jc w:val="both"/>
      </w:pPr>
      <w:r>
        <w:t>The termination process for tenured faculty is handled through the procedures described in Appendix N of the Faculty</w:t>
      </w:r>
      <w:r>
        <w:rPr>
          <w:spacing w:val="-10"/>
        </w:rPr>
        <w:t xml:space="preserve"> </w:t>
      </w:r>
      <w:r>
        <w:t>Handbook</w:t>
      </w:r>
    </w:p>
    <w:p w14:paraId="747C78D0" w14:textId="77777777" w:rsidR="007164E5" w:rsidRDefault="00E24016" w:rsidP="00433B6F">
      <w:pPr>
        <w:pStyle w:val="ListParagraph"/>
        <w:numPr>
          <w:ilvl w:val="0"/>
          <w:numId w:val="2"/>
        </w:numPr>
        <w:tabs>
          <w:tab w:val="left" w:pos="1181"/>
        </w:tabs>
        <w:ind w:right="746"/>
        <w:jc w:val="both"/>
      </w:pPr>
      <w:r>
        <w:t>If the Council judges that it is not appropriate to recommend initiation of termination proceedings, does it recommend</w:t>
      </w:r>
      <w:r>
        <w:rPr>
          <w:spacing w:val="-14"/>
        </w:rPr>
        <w:t xml:space="preserve"> </w:t>
      </w:r>
      <w:r>
        <w:t>sanctions?</w:t>
      </w:r>
    </w:p>
    <w:p w14:paraId="6633CA0F" w14:textId="77777777" w:rsidR="007164E5" w:rsidRDefault="00E24016" w:rsidP="00433B6F">
      <w:pPr>
        <w:pStyle w:val="ListParagraph"/>
        <w:numPr>
          <w:ilvl w:val="1"/>
          <w:numId w:val="2"/>
        </w:numPr>
        <w:tabs>
          <w:tab w:val="left" w:pos="1901"/>
        </w:tabs>
        <w:spacing w:before="2" w:line="237" w:lineRule="auto"/>
        <w:ind w:right="222"/>
        <w:jc w:val="both"/>
      </w:pPr>
      <w:r>
        <w:t>These may include recommendations to the Dean for reduction in salary, resources or opportunities, “community service”, letters of apology, a monitoring plan, accountability structures,</w:t>
      </w:r>
      <w:r>
        <w:rPr>
          <w:spacing w:val="-5"/>
        </w:rPr>
        <w:t xml:space="preserve"> </w:t>
      </w:r>
      <w:r>
        <w:t>etc.</w:t>
      </w:r>
    </w:p>
    <w:p w14:paraId="6BDB7D16" w14:textId="77777777" w:rsidR="007164E5" w:rsidRDefault="007164E5" w:rsidP="00433B6F">
      <w:pPr>
        <w:spacing w:line="237" w:lineRule="auto"/>
        <w:jc w:val="both"/>
        <w:sectPr w:rsidR="007164E5" w:rsidSect="00EA6C5A">
          <w:pgSz w:w="12240" w:h="15840"/>
          <w:pgMar w:top="1080" w:right="1080" w:bottom="1080" w:left="1080" w:header="0" w:footer="703" w:gutter="0"/>
          <w:cols w:space="720"/>
        </w:sectPr>
      </w:pPr>
    </w:p>
    <w:p w14:paraId="5E5A9473" w14:textId="77777777" w:rsidR="007164E5" w:rsidRDefault="00E24016" w:rsidP="00433B6F">
      <w:pPr>
        <w:pStyle w:val="BodyText"/>
        <w:spacing w:before="37"/>
        <w:ind w:left="100" w:right="240"/>
        <w:jc w:val="both"/>
      </w:pPr>
      <w:r>
        <w:rPr>
          <w:i/>
        </w:rPr>
        <w:lastRenderedPageBreak/>
        <w:t xml:space="preserve">Investigation </w:t>
      </w:r>
      <w:r>
        <w:t>In cases where additional information is needed to evaluate a complaint, the Council may request assistance in conducting an investigation. This investigation will be completed by trained personnel (e.g. Internal Audit, Compliance Office, or other personnel who routinely conduct investigations), and not by Council members. Requests for investigation will be made to the Executive Vice Dean for Administration, who will determine the appropriate investigative arm.</w:t>
      </w:r>
    </w:p>
    <w:p w14:paraId="53FDE980" w14:textId="77777777" w:rsidR="007164E5" w:rsidRDefault="007164E5" w:rsidP="00433B6F">
      <w:pPr>
        <w:pStyle w:val="BodyText"/>
        <w:spacing w:before="10"/>
        <w:jc w:val="both"/>
        <w:rPr>
          <w:sz w:val="21"/>
        </w:rPr>
      </w:pPr>
    </w:p>
    <w:p w14:paraId="4EF3B8A7" w14:textId="77777777" w:rsidR="007164E5" w:rsidRDefault="00E24016" w:rsidP="00433B6F">
      <w:pPr>
        <w:pStyle w:val="BodyText"/>
        <w:ind w:left="100" w:right="84"/>
        <w:jc w:val="both"/>
      </w:pPr>
      <w:r>
        <w:rPr>
          <w:i/>
        </w:rPr>
        <w:t xml:space="preserve">Findings and Recommendations </w:t>
      </w:r>
      <w:r>
        <w:t>The</w:t>
      </w:r>
      <w:r w:rsidR="00433B6F">
        <w:t xml:space="preserve"> </w:t>
      </w:r>
      <w:r>
        <w:t>Council will submit its findings and recommendations to the Dean in a confidential written document. In deliberating on its recommendations, it will review past cases to ensure consistency from case to case. The Dean, in consultation with the Chair and/or Center/Institute Director responsible for the faculty member, will make the final decision regarding further action, which will be communicated to the faculty member in writing.</w:t>
      </w:r>
    </w:p>
    <w:p w14:paraId="76FFC0BF" w14:textId="77777777" w:rsidR="007164E5" w:rsidRDefault="007164E5" w:rsidP="00433B6F">
      <w:pPr>
        <w:pStyle w:val="BodyText"/>
        <w:jc w:val="both"/>
      </w:pPr>
    </w:p>
    <w:p w14:paraId="4C9256AC" w14:textId="77777777" w:rsidR="007164E5" w:rsidRDefault="00E24016" w:rsidP="00433B6F">
      <w:pPr>
        <w:pStyle w:val="BodyText"/>
        <w:ind w:left="100" w:right="780"/>
        <w:jc w:val="both"/>
      </w:pPr>
      <w:r>
        <w:rPr>
          <w:i/>
        </w:rPr>
        <w:t xml:space="preserve">Appeals </w:t>
      </w:r>
      <w:r>
        <w:t>If a faculty member disagrees with the Dean’s decision, they may appeal pursuant to the procedures described in Appendix N of the Faculty Handbook.</w:t>
      </w:r>
    </w:p>
    <w:p w14:paraId="2513E4EB" w14:textId="77777777" w:rsidR="007164E5" w:rsidRDefault="007164E5" w:rsidP="00433B6F">
      <w:pPr>
        <w:pStyle w:val="BodyText"/>
        <w:spacing w:before="10"/>
        <w:jc w:val="both"/>
        <w:rPr>
          <w:sz w:val="21"/>
        </w:rPr>
      </w:pPr>
    </w:p>
    <w:p w14:paraId="0741DC73" w14:textId="77777777" w:rsidR="007164E5" w:rsidRDefault="00E24016" w:rsidP="00433B6F">
      <w:pPr>
        <w:pStyle w:val="BodyText"/>
        <w:spacing w:before="1"/>
        <w:ind w:left="100" w:right="300"/>
        <w:jc w:val="both"/>
      </w:pPr>
      <w:r>
        <w:rPr>
          <w:i/>
        </w:rPr>
        <w:t xml:space="preserve">Confidentiality </w:t>
      </w:r>
      <w:r>
        <w:t>Case details and Council discussions are to be treated as confidential. Council members should not discuss any elements of the case outside of Council meetings unless asked by the Dean or Vice Dean for Faculty to do so as part of the case management process.</w:t>
      </w:r>
    </w:p>
    <w:p w14:paraId="04B2C96D" w14:textId="77777777" w:rsidR="007164E5" w:rsidRDefault="007164E5" w:rsidP="00433B6F">
      <w:pPr>
        <w:pStyle w:val="BodyText"/>
        <w:jc w:val="both"/>
      </w:pPr>
    </w:p>
    <w:p w14:paraId="59E5FD10" w14:textId="77777777" w:rsidR="007164E5" w:rsidRDefault="00E24016" w:rsidP="00433B6F">
      <w:pPr>
        <w:pStyle w:val="BodyText"/>
        <w:ind w:left="100" w:right="279"/>
        <w:jc w:val="both"/>
      </w:pPr>
      <w:r>
        <w:rPr>
          <w:i/>
        </w:rPr>
        <w:t xml:space="preserve">Records </w:t>
      </w:r>
      <w:r>
        <w:t>Records of Council discussions will be treated as confidential. They will be kept in Office of the Vice Dean for Faculty, and may be accessed by the Dean or her designate, or as required by law.</w:t>
      </w:r>
    </w:p>
    <w:p w14:paraId="672A3DEE" w14:textId="77777777" w:rsidR="007164E5" w:rsidRDefault="00E24016" w:rsidP="00433B6F">
      <w:pPr>
        <w:pStyle w:val="BodyText"/>
        <w:ind w:left="100" w:right="98"/>
        <w:jc w:val="both"/>
      </w:pPr>
      <w:r>
        <w:t>Materials will also be redacted consistent with applicable law as needed.</w:t>
      </w:r>
    </w:p>
    <w:p w14:paraId="5A96BB9C" w14:textId="77777777" w:rsidR="007164E5" w:rsidRDefault="007164E5" w:rsidP="00433B6F">
      <w:pPr>
        <w:pStyle w:val="BodyText"/>
        <w:jc w:val="both"/>
      </w:pPr>
    </w:p>
    <w:p w14:paraId="1A2150DB" w14:textId="77777777" w:rsidR="00EA6C5A" w:rsidRDefault="00EA6C5A" w:rsidP="00433B6F">
      <w:pPr>
        <w:pStyle w:val="Heading1"/>
        <w:jc w:val="both"/>
      </w:pPr>
    </w:p>
    <w:p w14:paraId="63A83BF1" w14:textId="7D96B817" w:rsidR="007164E5" w:rsidRDefault="00E24016" w:rsidP="00433B6F">
      <w:pPr>
        <w:pStyle w:val="Heading1"/>
        <w:jc w:val="both"/>
      </w:pPr>
      <w:r>
        <w:t>Appendix C</w:t>
      </w:r>
    </w:p>
    <w:p w14:paraId="48107873" w14:textId="77777777" w:rsidR="007164E5" w:rsidRDefault="00E24016" w:rsidP="00433B6F">
      <w:pPr>
        <w:pStyle w:val="BodyText"/>
        <w:spacing w:line="267" w:lineRule="exact"/>
        <w:ind w:left="100" w:right="98"/>
        <w:jc w:val="both"/>
      </w:pPr>
      <w:r>
        <w:rPr>
          <w:u w:val="single"/>
        </w:rPr>
        <w:t>Suggestions for providing feedback about unprofessional behavior.</w:t>
      </w:r>
    </w:p>
    <w:p w14:paraId="3AE99CD5" w14:textId="77777777" w:rsidR="007164E5" w:rsidRDefault="00E24016" w:rsidP="00433B6F">
      <w:pPr>
        <w:pStyle w:val="BodyText"/>
        <w:ind w:left="100" w:right="824"/>
        <w:jc w:val="both"/>
      </w:pPr>
      <w:r>
        <w:t>Establish a time to meet privately with the person. During the meeting, use this guideline for the conversation.</w:t>
      </w:r>
    </w:p>
    <w:p w14:paraId="2F32750A" w14:textId="77777777" w:rsidR="007164E5" w:rsidRDefault="00E24016" w:rsidP="00433B6F">
      <w:pPr>
        <w:pStyle w:val="ListParagraph"/>
        <w:numPr>
          <w:ilvl w:val="0"/>
          <w:numId w:val="1"/>
        </w:numPr>
        <w:tabs>
          <w:tab w:val="left" w:pos="319"/>
        </w:tabs>
        <w:spacing w:before="120"/>
        <w:ind w:hanging="271"/>
        <w:jc w:val="both"/>
      </w:pPr>
      <w:r>
        <w:t>State that you wish to give some feedback and</w:t>
      </w:r>
      <w:r>
        <w:rPr>
          <w:spacing w:val="-26"/>
        </w:rPr>
        <w:t xml:space="preserve"> </w:t>
      </w:r>
      <w:r>
        <w:t>why.</w:t>
      </w:r>
    </w:p>
    <w:p w14:paraId="3DC0DC6C" w14:textId="77777777" w:rsidR="007164E5" w:rsidRDefault="00E24016" w:rsidP="00433B6F">
      <w:pPr>
        <w:pStyle w:val="ListParagraph"/>
        <w:numPr>
          <w:ilvl w:val="0"/>
          <w:numId w:val="1"/>
        </w:numPr>
        <w:tabs>
          <w:tab w:val="left" w:pos="319"/>
        </w:tabs>
        <w:spacing w:before="120"/>
        <w:ind w:left="318" w:hanging="218"/>
        <w:jc w:val="both"/>
      </w:pPr>
      <w:r>
        <w:t>State the observed</w:t>
      </w:r>
      <w:r>
        <w:rPr>
          <w:spacing w:val="-11"/>
        </w:rPr>
        <w:t xml:space="preserve"> </w:t>
      </w:r>
      <w:r>
        <w:t>behavior.</w:t>
      </w:r>
    </w:p>
    <w:p w14:paraId="2AD4E245" w14:textId="77777777" w:rsidR="007164E5" w:rsidRDefault="00E24016" w:rsidP="00433B6F">
      <w:pPr>
        <w:pStyle w:val="ListParagraph"/>
        <w:numPr>
          <w:ilvl w:val="0"/>
          <w:numId w:val="1"/>
        </w:numPr>
        <w:tabs>
          <w:tab w:val="left" w:pos="319"/>
        </w:tabs>
        <w:spacing w:before="120"/>
        <w:ind w:left="318" w:hanging="218"/>
        <w:jc w:val="both"/>
      </w:pPr>
      <w:r>
        <w:t>Share your interpretation of that behavior (what I take that to mean is . .</w:t>
      </w:r>
      <w:r>
        <w:rPr>
          <w:spacing w:val="-24"/>
        </w:rPr>
        <w:t xml:space="preserve"> </w:t>
      </w:r>
      <w:r>
        <w:t>.).</w:t>
      </w:r>
    </w:p>
    <w:p w14:paraId="43F92C09" w14:textId="77777777" w:rsidR="007164E5" w:rsidRDefault="00E24016" w:rsidP="00433B6F">
      <w:pPr>
        <w:pStyle w:val="ListParagraph"/>
        <w:numPr>
          <w:ilvl w:val="0"/>
          <w:numId w:val="1"/>
        </w:numPr>
        <w:tabs>
          <w:tab w:val="left" w:pos="319"/>
        </w:tabs>
        <w:spacing w:before="120"/>
        <w:ind w:left="318" w:hanging="218"/>
        <w:jc w:val="both"/>
      </w:pPr>
      <w:r>
        <w:t>Share the feeling attached to that interpretation (which makes me feel . .</w:t>
      </w:r>
      <w:r>
        <w:rPr>
          <w:spacing w:val="-27"/>
        </w:rPr>
        <w:t xml:space="preserve"> </w:t>
      </w:r>
      <w:r>
        <w:t>.).</w:t>
      </w:r>
    </w:p>
    <w:p w14:paraId="491B2D3C" w14:textId="77777777" w:rsidR="007164E5" w:rsidRDefault="00E24016" w:rsidP="00433B6F">
      <w:pPr>
        <w:pStyle w:val="ListParagraph"/>
        <w:numPr>
          <w:ilvl w:val="0"/>
          <w:numId w:val="1"/>
        </w:numPr>
        <w:tabs>
          <w:tab w:val="left" w:pos="319"/>
        </w:tabs>
        <w:spacing w:before="120"/>
        <w:ind w:left="318" w:hanging="218"/>
        <w:jc w:val="both"/>
      </w:pPr>
      <w:r>
        <w:t>Invite a response (What are your thoughts about</w:t>
      </w:r>
      <w:r>
        <w:rPr>
          <w:spacing w:val="-17"/>
        </w:rPr>
        <w:t xml:space="preserve"> </w:t>
      </w:r>
      <w:r>
        <w:t>that?).</w:t>
      </w:r>
    </w:p>
    <w:p w14:paraId="32A33A14" w14:textId="77777777" w:rsidR="007164E5" w:rsidRDefault="00E24016" w:rsidP="00433B6F">
      <w:pPr>
        <w:pStyle w:val="ListParagraph"/>
        <w:numPr>
          <w:ilvl w:val="0"/>
          <w:numId w:val="1"/>
        </w:numPr>
        <w:tabs>
          <w:tab w:val="left" w:pos="319"/>
        </w:tabs>
        <w:spacing w:before="120"/>
        <w:ind w:right="470" w:hanging="271"/>
        <w:jc w:val="both"/>
      </w:pPr>
      <w:r>
        <w:t>Engage in a dialogue of next steps and future options, but do not necessarily come to a conclusion right now.</w:t>
      </w:r>
    </w:p>
    <w:p w14:paraId="3AF7DE98" w14:textId="77777777" w:rsidR="007164E5" w:rsidRDefault="007164E5" w:rsidP="00433B6F">
      <w:pPr>
        <w:pStyle w:val="BodyText"/>
        <w:spacing w:before="10"/>
        <w:jc w:val="both"/>
        <w:rPr>
          <w:sz w:val="21"/>
        </w:rPr>
      </w:pPr>
    </w:p>
    <w:p w14:paraId="52233214" w14:textId="77777777" w:rsidR="007164E5" w:rsidRDefault="00E24016" w:rsidP="00433B6F">
      <w:pPr>
        <w:pStyle w:val="BodyText"/>
        <w:ind w:left="100" w:right="98"/>
        <w:jc w:val="both"/>
      </w:pPr>
      <w:r>
        <w:t>© 2012 Otto Krueger Associates (used with permission)</w:t>
      </w:r>
    </w:p>
    <w:p w14:paraId="2B450055" w14:textId="77777777" w:rsidR="007164E5" w:rsidRDefault="007164E5" w:rsidP="00433B6F">
      <w:pPr>
        <w:jc w:val="both"/>
        <w:sectPr w:rsidR="007164E5" w:rsidSect="00EA6C5A">
          <w:pgSz w:w="12240" w:h="15840"/>
          <w:pgMar w:top="1080" w:right="1080" w:bottom="1080" w:left="1080" w:header="0" w:footer="703" w:gutter="0"/>
          <w:cols w:space="720"/>
        </w:sectPr>
      </w:pPr>
    </w:p>
    <w:p w14:paraId="112A9945" w14:textId="77777777" w:rsidR="007164E5" w:rsidRDefault="00E24016" w:rsidP="00433B6F">
      <w:pPr>
        <w:pStyle w:val="Heading1"/>
        <w:spacing w:before="56"/>
        <w:ind w:left="0" w:right="2689"/>
        <w:jc w:val="both"/>
      </w:pPr>
      <w:r>
        <w:lastRenderedPageBreak/>
        <w:t>Appendix D</w:t>
      </w:r>
    </w:p>
    <w:p w14:paraId="2A469E1F" w14:textId="77777777" w:rsidR="007164E5" w:rsidRDefault="00E24016" w:rsidP="00433B6F">
      <w:pPr>
        <w:pStyle w:val="BodyText"/>
        <w:ind w:right="2689"/>
        <w:jc w:val="both"/>
      </w:pPr>
      <w:r>
        <w:rPr>
          <w:u w:val="single"/>
        </w:rPr>
        <w:t>Document History</w:t>
      </w:r>
    </w:p>
    <w:p w14:paraId="722CCB9F" w14:textId="2FF21C94" w:rsidR="007164E5" w:rsidRDefault="00E24016" w:rsidP="00433B6F">
      <w:pPr>
        <w:pStyle w:val="BodyText"/>
        <w:ind w:right="228"/>
        <w:jc w:val="both"/>
      </w:pPr>
      <w:r>
        <w:t xml:space="preserve">This document may be updated periodically. This section will record major changes and updates. Any changes to the document will be managed by the Office of the Vice Dean for Faculty. Please contact that office with any questions: </w:t>
      </w:r>
      <w:hyperlink r:id="rId40" w:history="1">
        <w:r w:rsidR="00FC47C2" w:rsidRPr="005B4992">
          <w:rPr>
            <w:rStyle w:val="Hyperlink"/>
          </w:rPr>
          <w:t>facdev@dm.duke.edu</w:t>
        </w:r>
      </w:hyperlink>
      <w:r w:rsidR="00FC47C2">
        <w:t xml:space="preserve"> </w:t>
      </w:r>
    </w:p>
    <w:p w14:paraId="3B8C9417" w14:textId="77777777" w:rsidR="007164E5" w:rsidRDefault="007164E5" w:rsidP="00433B6F">
      <w:pPr>
        <w:pStyle w:val="BodyText"/>
        <w:spacing w:before="3"/>
        <w:jc w:val="both"/>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3"/>
      </w:tblGrid>
      <w:tr w:rsidR="007164E5" w14:paraId="399EEA4B" w14:textId="77777777">
        <w:trPr>
          <w:trHeight w:hRule="exact" w:val="278"/>
        </w:trPr>
        <w:tc>
          <w:tcPr>
            <w:tcW w:w="3193" w:type="dxa"/>
          </w:tcPr>
          <w:p w14:paraId="1B19FD9D" w14:textId="77777777" w:rsidR="007164E5" w:rsidRDefault="00E24016" w:rsidP="00D971AE">
            <w:pPr>
              <w:pStyle w:val="TableParagraph"/>
              <w:ind w:left="103"/>
              <w:rPr>
                <w:b/>
              </w:rPr>
            </w:pPr>
            <w:r>
              <w:rPr>
                <w:b/>
              </w:rPr>
              <w:t>Date of Update</w:t>
            </w:r>
          </w:p>
        </w:tc>
        <w:tc>
          <w:tcPr>
            <w:tcW w:w="3192" w:type="dxa"/>
          </w:tcPr>
          <w:p w14:paraId="4F233FE8" w14:textId="77777777" w:rsidR="007164E5" w:rsidRDefault="00E24016" w:rsidP="00433B6F">
            <w:pPr>
              <w:pStyle w:val="TableParagraph"/>
              <w:ind w:left="103"/>
              <w:jc w:val="both"/>
              <w:rPr>
                <w:b/>
              </w:rPr>
            </w:pPr>
            <w:r>
              <w:rPr>
                <w:b/>
              </w:rPr>
              <w:t>Initiated by whom</w:t>
            </w:r>
          </w:p>
        </w:tc>
        <w:tc>
          <w:tcPr>
            <w:tcW w:w="3193" w:type="dxa"/>
          </w:tcPr>
          <w:p w14:paraId="16579940" w14:textId="77777777" w:rsidR="007164E5" w:rsidRDefault="00E24016" w:rsidP="00433B6F">
            <w:pPr>
              <w:pStyle w:val="TableParagraph"/>
              <w:ind w:left="103"/>
              <w:jc w:val="both"/>
              <w:rPr>
                <w:b/>
              </w:rPr>
            </w:pPr>
            <w:r>
              <w:rPr>
                <w:b/>
              </w:rPr>
              <w:t>Summary of changes</w:t>
            </w:r>
          </w:p>
        </w:tc>
      </w:tr>
      <w:tr w:rsidR="007164E5" w14:paraId="01E36A95" w14:textId="77777777" w:rsidTr="00392BDC">
        <w:trPr>
          <w:trHeight w:hRule="exact" w:val="496"/>
        </w:trPr>
        <w:tc>
          <w:tcPr>
            <w:tcW w:w="3193" w:type="dxa"/>
          </w:tcPr>
          <w:p w14:paraId="208F0202" w14:textId="5E828AB5" w:rsidR="007164E5" w:rsidRDefault="00392BDC" w:rsidP="00392BDC">
            <w:pPr>
              <w:pStyle w:val="TableParagraph"/>
              <w:spacing w:before="120" w:after="120" w:line="268" w:lineRule="exact"/>
              <w:ind w:left="0"/>
            </w:pPr>
            <w:r>
              <w:t xml:space="preserve">  </w:t>
            </w:r>
            <w:r w:rsidR="00E24016">
              <w:t>6/1/2012 (original)</w:t>
            </w:r>
          </w:p>
        </w:tc>
        <w:tc>
          <w:tcPr>
            <w:tcW w:w="3192" w:type="dxa"/>
          </w:tcPr>
          <w:p w14:paraId="294CDA80" w14:textId="77777777" w:rsidR="007164E5" w:rsidRDefault="007164E5" w:rsidP="00433B6F">
            <w:pPr>
              <w:jc w:val="both"/>
            </w:pPr>
          </w:p>
        </w:tc>
        <w:tc>
          <w:tcPr>
            <w:tcW w:w="3193" w:type="dxa"/>
          </w:tcPr>
          <w:p w14:paraId="046716D4" w14:textId="77777777" w:rsidR="007164E5" w:rsidRDefault="007164E5" w:rsidP="00433B6F">
            <w:pPr>
              <w:jc w:val="both"/>
            </w:pPr>
          </w:p>
        </w:tc>
      </w:tr>
      <w:tr w:rsidR="007164E5" w14:paraId="68BE2CB5" w14:textId="77777777" w:rsidTr="00682D8A">
        <w:trPr>
          <w:trHeight w:hRule="exact" w:val="697"/>
        </w:trPr>
        <w:tc>
          <w:tcPr>
            <w:tcW w:w="3193" w:type="dxa"/>
          </w:tcPr>
          <w:p w14:paraId="0C7C8603" w14:textId="42A4FE48" w:rsidR="007164E5" w:rsidRDefault="00392BDC" w:rsidP="00392BDC">
            <w:pPr>
              <w:spacing w:before="120" w:after="120"/>
            </w:pPr>
            <w:r>
              <w:t xml:space="preserve">  </w:t>
            </w:r>
            <w:r w:rsidR="00837FEB">
              <w:t>9/</w:t>
            </w:r>
            <w:r w:rsidR="00682D8A">
              <w:t>16/</w:t>
            </w:r>
            <w:r w:rsidR="00837FEB">
              <w:t>2016</w:t>
            </w:r>
          </w:p>
        </w:tc>
        <w:tc>
          <w:tcPr>
            <w:tcW w:w="3192" w:type="dxa"/>
          </w:tcPr>
          <w:p w14:paraId="202DD731" w14:textId="77777777" w:rsidR="007164E5" w:rsidRDefault="00837FEB" w:rsidP="00392BDC">
            <w:pPr>
              <w:spacing w:before="120"/>
              <w:jc w:val="both"/>
            </w:pPr>
            <w:r>
              <w:t xml:space="preserve">  D. Crosmer</w:t>
            </w:r>
            <w:r w:rsidR="00682D8A">
              <w:t>, Office for Faculty</w:t>
            </w:r>
          </w:p>
        </w:tc>
        <w:tc>
          <w:tcPr>
            <w:tcW w:w="3193" w:type="dxa"/>
          </w:tcPr>
          <w:p w14:paraId="19A542D1" w14:textId="77777777" w:rsidR="00682D8A" w:rsidRDefault="00837FEB" w:rsidP="00392BDC">
            <w:pPr>
              <w:spacing w:before="120"/>
              <w:jc w:val="both"/>
            </w:pPr>
            <w:r>
              <w:t xml:space="preserve">  Links</w:t>
            </w:r>
            <w:r w:rsidR="00682D8A">
              <w:t>, contacts and p</w:t>
            </w:r>
            <w:r>
              <w:t xml:space="preserve">hone </w:t>
            </w:r>
          </w:p>
          <w:p w14:paraId="74011637" w14:textId="77777777" w:rsidR="007164E5" w:rsidRDefault="00682D8A" w:rsidP="00433B6F">
            <w:pPr>
              <w:jc w:val="both"/>
            </w:pPr>
            <w:r>
              <w:t xml:space="preserve">  </w:t>
            </w:r>
            <w:r w:rsidR="00837FEB">
              <w:t>n</w:t>
            </w:r>
            <w:r>
              <w:t>u</w:t>
            </w:r>
            <w:r w:rsidR="00837FEB">
              <w:t>mbers updated</w:t>
            </w:r>
          </w:p>
        </w:tc>
      </w:tr>
      <w:tr w:rsidR="00D3606D" w14:paraId="04127B65" w14:textId="77777777" w:rsidTr="00682D8A">
        <w:trPr>
          <w:trHeight w:hRule="exact" w:val="697"/>
        </w:trPr>
        <w:tc>
          <w:tcPr>
            <w:tcW w:w="3193" w:type="dxa"/>
          </w:tcPr>
          <w:p w14:paraId="62C61390" w14:textId="68F21B68" w:rsidR="00D3606D" w:rsidRDefault="00392BDC" w:rsidP="00392BDC">
            <w:pPr>
              <w:spacing w:before="120" w:after="120"/>
            </w:pPr>
            <w:r>
              <w:t xml:space="preserve">  </w:t>
            </w:r>
            <w:r w:rsidR="00D3606D">
              <w:t>3/</w:t>
            </w:r>
            <w:r w:rsidR="00D64A96">
              <w:t>30/201</w:t>
            </w:r>
            <w:r w:rsidR="00D3606D">
              <w:t>8</w:t>
            </w:r>
          </w:p>
        </w:tc>
        <w:tc>
          <w:tcPr>
            <w:tcW w:w="3192" w:type="dxa"/>
          </w:tcPr>
          <w:p w14:paraId="63E96629" w14:textId="77777777" w:rsidR="00D3606D" w:rsidRDefault="00D3606D" w:rsidP="00392BDC">
            <w:pPr>
              <w:spacing w:before="120"/>
              <w:jc w:val="both"/>
            </w:pPr>
            <w:r>
              <w:t xml:space="preserve">  D. Crosmer, Office for Faculty</w:t>
            </w:r>
          </w:p>
        </w:tc>
        <w:tc>
          <w:tcPr>
            <w:tcW w:w="3193" w:type="dxa"/>
          </w:tcPr>
          <w:p w14:paraId="0C010D7D" w14:textId="77777777" w:rsidR="00D3606D" w:rsidRDefault="00D3606D" w:rsidP="00392BDC">
            <w:pPr>
              <w:spacing w:before="120"/>
              <w:jc w:val="both"/>
            </w:pPr>
            <w:r>
              <w:t xml:space="preserve">  Links, contacts and phone </w:t>
            </w:r>
          </w:p>
          <w:p w14:paraId="1F6F18AE" w14:textId="77777777" w:rsidR="00D3606D" w:rsidRDefault="00D3606D" w:rsidP="00433B6F">
            <w:pPr>
              <w:jc w:val="both"/>
            </w:pPr>
            <w:r>
              <w:t xml:space="preserve">  numbers updated</w:t>
            </w:r>
          </w:p>
        </w:tc>
      </w:tr>
      <w:tr w:rsidR="00494B7C" w14:paraId="1190FE23" w14:textId="77777777" w:rsidTr="00682D8A">
        <w:trPr>
          <w:trHeight w:hRule="exact" w:val="697"/>
        </w:trPr>
        <w:tc>
          <w:tcPr>
            <w:tcW w:w="3193" w:type="dxa"/>
          </w:tcPr>
          <w:p w14:paraId="54147D4C" w14:textId="2B1B35F6" w:rsidR="00494B7C" w:rsidRDefault="00392BDC" w:rsidP="00392BDC">
            <w:pPr>
              <w:spacing w:before="120" w:after="120"/>
            </w:pPr>
            <w:r>
              <w:t xml:space="preserve">  </w:t>
            </w:r>
            <w:r w:rsidR="00494B7C">
              <w:t>9/3/2019</w:t>
            </w:r>
          </w:p>
        </w:tc>
        <w:tc>
          <w:tcPr>
            <w:tcW w:w="3192" w:type="dxa"/>
          </w:tcPr>
          <w:p w14:paraId="3117C1E0" w14:textId="77777777" w:rsidR="00494B7C" w:rsidRDefault="00494B7C" w:rsidP="00392BDC">
            <w:pPr>
              <w:spacing w:before="120"/>
              <w:jc w:val="both"/>
            </w:pPr>
            <w:r>
              <w:t xml:space="preserve">  D. Crosmer, Office for Faculty</w:t>
            </w:r>
          </w:p>
        </w:tc>
        <w:tc>
          <w:tcPr>
            <w:tcW w:w="3193" w:type="dxa"/>
          </w:tcPr>
          <w:p w14:paraId="77756C1D" w14:textId="77777777" w:rsidR="00494B7C" w:rsidRDefault="00494B7C" w:rsidP="00392BDC">
            <w:pPr>
              <w:spacing w:before="120"/>
              <w:jc w:val="both"/>
            </w:pPr>
            <w:r>
              <w:t xml:space="preserve">  Updated Statement on Faculty    </w:t>
            </w:r>
          </w:p>
          <w:p w14:paraId="6EC18826" w14:textId="77777777" w:rsidR="00494B7C" w:rsidRDefault="00494B7C" w:rsidP="00433B6F">
            <w:pPr>
              <w:jc w:val="both"/>
            </w:pPr>
            <w:r>
              <w:t xml:space="preserve">  Professionalism</w:t>
            </w:r>
          </w:p>
        </w:tc>
      </w:tr>
      <w:tr w:rsidR="00A11070" w14:paraId="2C14CA46" w14:textId="77777777" w:rsidTr="00682D8A">
        <w:trPr>
          <w:trHeight w:hRule="exact" w:val="697"/>
        </w:trPr>
        <w:tc>
          <w:tcPr>
            <w:tcW w:w="3193" w:type="dxa"/>
          </w:tcPr>
          <w:p w14:paraId="02724096" w14:textId="672C6285" w:rsidR="00A11070" w:rsidRDefault="00392BDC" w:rsidP="00392BDC">
            <w:pPr>
              <w:spacing w:before="120" w:after="120"/>
            </w:pPr>
            <w:r>
              <w:t xml:space="preserve">  </w:t>
            </w:r>
            <w:r w:rsidR="00A11070">
              <w:t>9/19/</w:t>
            </w:r>
            <w:r w:rsidR="00433B6F">
              <w:t>20</w:t>
            </w:r>
            <w:r w:rsidR="00A11070">
              <w:t>19</w:t>
            </w:r>
          </w:p>
        </w:tc>
        <w:tc>
          <w:tcPr>
            <w:tcW w:w="3192" w:type="dxa"/>
          </w:tcPr>
          <w:p w14:paraId="742472FC" w14:textId="77777777" w:rsidR="00A11070" w:rsidRDefault="00A11070" w:rsidP="00392BDC">
            <w:pPr>
              <w:spacing w:before="120"/>
              <w:jc w:val="both"/>
            </w:pPr>
            <w:r>
              <w:t xml:space="preserve">  D. Crosmer, Office for Faculty</w:t>
            </w:r>
          </w:p>
        </w:tc>
        <w:tc>
          <w:tcPr>
            <w:tcW w:w="3193" w:type="dxa"/>
          </w:tcPr>
          <w:p w14:paraId="355C2C1B" w14:textId="77777777" w:rsidR="00A11070" w:rsidRDefault="00A11070" w:rsidP="00392BDC">
            <w:pPr>
              <w:spacing w:before="120"/>
              <w:jc w:val="both"/>
            </w:pPr>
            <w:r>
              <w:t xml:space="preserve">  </w:t>
            </w:r>
            <w:r w:rsidR="00E26561">
              <w:t>Contacts updated</w:t>
            </w:r>
          </w:p>
        </w:tc>
      </w:tr>
      <w:tr w:rsidR="000F10CA" w14:paraId="07E3D619" w14:textId="77777777" w:rsidTr="00682D8A">
        <w:trPr>
          <w:trHeight w:hRule="exact" w:val="697"/>
        </w:trPr>
        <w:tc>
          <w:tcPr>
            <w:tcW w:w="3193" w:type="dxa"/>
          </w:tcPr>
          <w:p w14:paraId="34A09754" w14:textId="626EB8BA" w:rsidR="000F10CA" w:rsidRDefault="00392BDC" w:rsidP="00392BDC">
            <w:pPr>
              <w:spacing w:before="120" w:after="120"/>
            </w:pPr>
            <w:r>
              <w:t xml:space="preserve">  </w:t>
            </w:r>
            <w:r w:rsidR="000F10CA">
              <w:t>7/31/20</w:t>
            </w:r>
            <w:r w:rsidR="00433B6F">
              <w:t>20</w:t>
            </w:r>
          </w:p>
        </w:tc>
        <w:tc>
          <w:tcPr>
            <w:tcW w:w="3192" w:type="dxa"/>
          </w:tcPr>
          <w:p w14:paraId="0FDA3853" w14:textId="77777777" w:rsidR="000F10CA" w:rsidRDefault="000F10CA" w:rsidP="00392BDC">
            <w:pPr>
              <w:spacing w:before="120"/>
              <w:jc w:val="both"/>
            </w:pPr>
            <w:r>
              <w:t xml:space="preserve">  D. Crosmer, Office for Faculty</w:t>
            </w:r>
          </w:p>
        </w:tc>
        <w:tc>
          <w:tcPr>
            <w:tcW w:w="3193" w:type="dxa"/>
          </w:tcPr>
          <w:p w14:paraId="41AF9494" w14:textId="77777777" w:rsidR="000F10CA" w:rsidRDefault="000F10CA" w:rsidP="00392BDC">
            <w:pPr>
              <w:spacing w:before="120"/>
              <w:jc w:val="both"/>
            </w:pPr>
            <w:r>
              <w:t xml:space="preserve">  Contacts updated</w:t>
            </w:r>
          </w:p>
        </w:tc>
      </w:tr>
      <w:tr w:rsidR="009D3529" w14:paraId="5A95A5BD" w14:textId="77777777" w:rsidTr="00B27360">
        <w:trPr>
          <w:trHeight w:hRule="exact" w:val="1315"/>
        </w:trPr>
        <w:tc>
          <w:tcPr>
            <w:tcW w:w="3193" w:type="dxa"/>
          </w:tcPr>
          <w:p w14:paraId="421855D5" w14:textId="0D1CD017" w:rsidR="009D3529" w:rsidRDefault="00392BDC" w:rsidP="00392BDC">
            <w:pPr>
              <w:spacing w:before="120" w:after="120"/>
            </w:pPr>
            <w:r>
              <w:t xml:space="preserve">  </w:t>
            </w:r>
            <w:r w:rsidR="00EA6C5A">
              <w:t>7/29/2021</w:t>
            </w:r>
          </w:p>
        </w:tc>
        <w:tc>
          <w:tcPr>
            <w:tcW w:w="3192" w:type="dxa"/>
          </w:tcPr>
          <w:p w14:paraId="3AA193C9" w14:textId="6F7887D8" w:rsidR="009D3529" w:rsidRDefault="00D971AE" w:rsidP="00392BDC">
            <w:pPr>
              <w:spacing w:before="120"/>
              <w:jc w:val="both"/>
            </w:pPr>
            <w:r>
              <w:t xml:space="preserve">  D. Crosmer, Office for Faculty</w:t>
            </w:r>
          </w:p>
        </w:tc>
        <w:tc>
          <w:tcPr>
            <w:tcW w:w="3193" w:type="dxa"/>
          </w:tcPr>
          <w:p w14:paraId="7E0D8036" w14:textId="77777777" w:rsidR="00D971AE" w:rsidRDefault="00D971AE" w:rsidP="00392BDC">
            <w:pPr>
              <w:spacing w:before="120"/>
              <w:jc w:val="both"/>
            </w:pPr>
            <w:r>
              <w:t xml:space="preserve">  Formatting changes</w:t>
            </w:r>
          </w:p>
          <w:p w14:paraId="1A37B3CF" w14:textId="77777777" w:rsidR="00D971AE" w:rsidRDefault="00D971AE" w:rsidP="00D971AE">
            <w:pPr>
              <w:jc w:val="both"/>
            </w:pPr>
            <w:r>
              <w:t xml:space="preserve">  Resources updated</w:t>
            </w:r>
          </w:p>
          <w:p w14:paraId="60BAA40C" w14:textId="77777777" w:rsidR="00B27360" w:rsidRDefault="00D971AE" w:rsidP="00D971AE">
            <w:pPr>
              <w:jc w:val="both"/>
            </w:pPr>
            <w:r>
              <w:t xml:space="preserve">  A</w:t>
            </w:r>
            <w:r w:rsidR="00B27360">
              <w:t>ppendix A updated</w:t>
            </w:r>
          </w:p>
          <w:p w14:paraId="63AF63D4" w14:textId="112AC409" w:rsidR="009D3529" w:rsidRDefault="00B27360" w:rsidP="00B27360">
            <w:pPr>
              <w:jc w:val="both"/>
            </w:pPr>
            <w:r>
              <w:t xml:space="preserve">  Process for </w:t>
            </w:r>
            <w:r w:rsidR="00D971AE">
              <w:t xml:space="preserve">reporting </w:t>
            </w:r>
            <w:r>
              <w:t>updated</w:t>
            </w:r>
          </w:p>
        </w:tc>
      </w:tr>
      <w:tr w:rsidR="00392BDC" w14:paraId="1DD9269D" w14:textId="77777777" w:rsidTr="00392BDC">
        <w:trPr>
          <w:trHeight w:hRule="exact" w:val="595"/>
        </w:trPr>
        <w:tc>
          <w:tcPr>
            <w:tcW w:w="3193" w:type="dxa"/>
          </w:tcPr>
          <w:p w14:paraId="4346B9CB" w14:textId="0368F792" w:rsidR="00392BDC" w:rsidRDefault="00392BDC" w:rsidP="00392BDC">
            <w:pPr>
              <w:spacing w:before="120" w:after="120"/>
            </w:pPr>
            <w:r>
              <w:t xml:space="preserve">  8/12/2021</w:t>
            </w:r>
          </w:p>
        </w:tc>
        <w:tc>
          <w:tcPr>
            <w:tcW w:w="3192" w:type="dxa"/>
          </w:tcPr>
          <w:p w14:paraId="0B526FA6" w14:textId="3CC773A3" w:rsidR="00392BDC" w:rsidRDefault="00392BDC" w:rsidP="00392BDC">
            <w:pPr>
              <w:spacing w:before="120"/>
              <w:jc w:val="both"/>
            </w:pPr>
            <w:r>
              <w:t xml:space="preserve">  D. Crosmer, Office for Faculty</w:t>
            </w:r>
          </w:p>
        </w:tc>
        <w:tc>
          <w:tcPr>
            <w:tcW w:w="3193" w:type="dxa"/>
          </w:tcPr>
          <w:p w14:paraId="7491F10B" w14:textId="3788DA2F" w:rsidR="00392BDC" w:rsidRDefault="00392BDC" w:rsidP="00392BDC">
            <w:pPr>
              <w:spacing w:before="120"/>
              <w:jc w:val="both"/>
            </w:pPr>
            <w:r>
              <w:t xml:space="preserve">  Contact updated</w:t>
            </w:r>
          </w:p>
        </w:tc>
      </w:tr>
      <w:tr w:rsidR="00100CCB" w14:paraId="6C9B8161" w14:textId="77777777" w:rsidTr="00392BDC">
        <w:trPr>
          <w:trHeight w:hRule="exact" w:val="595"/>
        </w:trPr>
        <w:tc>
          <w:tcPr>
            <w:tcW w:w="3193" w:type="dxa"/>
          </w:tcPr>
          <w:p w14:paraId="60EEB5D2" w14:textId="559808FC" w:rsidR="00100CCB" w:rsidRDefault="00100CCB" w:rsidP="00392BDC">
            <w:pPr>
              <w:spacing w:before="120" w:after="120"/>
            </w:pPr>
            <w:r>
              <w:t xml:space="preserve">  07/07/2022</w:t>
            </w:r>
          </w:p>
        </w:tc>
        <w:tc>
          <w:tcPr>
            <w:tcW w:w="3192" w:type="dxa"/>
          </w:tcPr>
          <w:p w14:paraId="40C21992" w14:textId="36E341E5" w:rsidR="00100CCB" w:rsidRDefault="00100CCB" w:rsidP="00392BDC">
            <w:pPr>
              <w:spacing w:before="120"/>
              <w:jc w:val="both"/>
            </w:pPr>
            <w:r>
              <w:t xml:space="preserve">  D. Crosmer, Office for Faculty</w:t>
            </w:r>
          </w:p>
        </w:tc>
        <w:tc>
          <w:tcPr>
            <w:tcW w:w="3193" w:type="dxa"/>
          </w:tcPr>
          <w:p w14:paraId="715BDF89" w14:textId="6075BF8E" w:rsidR="00100CCB" w:rsidRDefault="00100CCB" w:rsidP="00392BDC">
            <w:pPr>
              <w:spacing w:before="120"/>
              <w:jc w:val="both"/>
            </w:pPr>
            <w:r>
              <w:t xml:space="preserve">  Appendix A updated</w:t>
            </w:r>
          </w:p>
        </w:tc>
      </w:tr>
    </w:tbl>
    <w:p w14:paraId="4A9938E0" w14:textId="77777777" w:rsidR="00E24016" w:rsidRDefault="00E24016" w:rsidP="00433B6F">
      <w:pPr>
        <w:jc w:val="both"/>
      </w:pPr>
    </w:p>
    <w:p w14:paraId="7327C143" w14:textId="77777777" w:rsidR="00A11070" w:rsidRDefault="00A11070" w:rsidP="00433B6F">
      <w:pPr>
        <w:jc w:val="both"/>
      </w:pPr>
    </w:p>
    <w:sectPr w:rsidR="00A11070" w:rsidSect="00EA6C5A">
      <w:pgSz w:w="12240" w:h="15840"/>
      <w:pgMar w:top="1080" w:right="1080" w:bottom="1080" w:left="108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EDCD" w14:textId="77777777" w:rsidR="004A4B32" w:rsidRDefault="004A4B32">
      <w:r>
        <w:separator/>
      </w:r>
    </w:p>
  </w:endnote>
  <w:endnote w:type="continuationSeparator" w:id="0">
    <w:p w14:paraId="03047ABA" w14:textId="77777777" w:rsidR="004A4B32" w:rsidRDefault="004A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28288"/>
      <w:docPartObj>
        <w:docPartGallery w:val="Page Numbers (Bottom of Page)"/>
        <w:docPartUnique/>
      </w:docPartObj>
    </w:sdtPr>
    <w:sdtEndPr>
      <w:rPr>
        <w:noProof/>
      </w:rPr>
    </w:sdtEndPr>
    <w:sdtContent>
      <w:p w14:paraId="6E1710EA" w14:textId="4638F3E0" w:rsidR="00EA6C5A" w:rsidRDefault="00EA6C5A">
        <w:pPr>
          <w:pStyle w:val="Footer"/>
          <w:jc w:val="right"/>
        </w:pPr>
        <w:r>
          <w:fldChar w:fldCharType="begin"/>
        </w:r>
        <w:r>
          <w:instrText xml:space="preserve"> PAGE   \* MERGEFORMAT </w:instrText>
        </w:r>
        <w:r>
          <w:fldChar w:fldCharType="separate"/>
        </w:r>
        <w:r w:rsidR="00AF415F">
          <w:rPr>
            <w:noProof/>
          </w:rPr>
          <w:t>1</w:t>
        </w:r>
        <w:r>
          <w:rPr>
            <w:noProof/>
          </w:rPr>
          <w:fldChar w:fldCharType="end"/>
        </w:r>
      </w:p>
    </w:sdtContent>
  </w:sdt>
  <w:p w14:paraId="09DC4E42" w14:textId="77777777" w:rsidR="001677A5" w:rsidRDefault="001677A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D4A0" w14:textId="77777777" w:rsidR="004A4B32" w:rsidRDefault="004A4B32">
      <w:r>
        <w:separator/>
      </w:r>
    </w:p>
  </w:footnote>
  <w:footnote w:type="continuationSeparator" w:id="0">
    <w:p w14:paraId="63492D80" w14:textId="77777777" w:rsidR="004A4B32" w:rsidRDefault="004A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45497"/>
    <w:multiLevelType w:val="multilevel"/>
    <w:tmpl w:val="B87C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37828"/>
    <w:multiLevelType w:val="hybridMultilevel"/>
    <w:tmpl w:val="B860BCBA"/>
    <w:lvl w:ilvl="0" w:tplc="DCAC62F8">
      <w:start w:val="1"/>
      <w:numFmt w:val="decimal"/>
      <w:lvlText w:val="%1."/>
      <w:lvlJc w:val="left"/>
      <w:pPr>
        <w:ind w:left="371" w:hanging="219"/>
      </w:pPr>
      <w:rPr>
        <w:rFonts w:ascii="Calibri" w:eastAsia="Calibri" w:hAnsi="Calibri" w:cs="Calibri" w:hint="default"/>
        <w:w w:val="100"/>
        <w:sz w:val="22"/>
        <w:szCs w:val="22"/>
      </w:rPr>
    </w:lvl>
    <w:lvl w:ilvl="1" w:tplc="19FEA2CE">
      <w:start w:val="1"/>
      <w:numFmt w:val="bullet"/>
      <w:lvlText w:val="•"/>
      <w:lvlJc w:val="left"/>
      <w:pPr>
        <w:ind w:left="1298" w:hanging="219"/>
      </w:pPr>
      <w:rPr>
        <w:rFonts w:hint="default"/>
      </w:rPr>
    </w:lvl>
    <w:lvl w:ilvl="2" w:tplc="5E8EFFE0">
      <w:start w:val="1"/>
      <w:numFmt w:val="bullet"/>
      <w:lvlText w:val="•"/>
      <w:lvlJc w:val="left"/>
      <w:pPr>
        <w:ind w:left="2216" w:hanging="219"/>
      </w:pPr>
      <w:rPr>
        <w:rFonts w:hint="default"/>
      </w:rPr>
    </w:lvl>
    <w:lvl w:ilvl="3" w:tplc="C9E619F4">
      <w:start w:val="1"/>
      <w:numFmt w:val="bullet"/>
      <w:lvlText w:val="•"/>
      <w:lvlJc w:val="left"/>
      <w:pPr>
        <w:ind w:left="3134" w:hanging="219"/>
      </w:pPr>
      <w:rPr>
        <w:rFonts w:hint="default"/>
      </w:rPr>
    </w:lvl>
    <w:lvl w:ilvl="4" w:tplc="13F2867C">
      <w:start w:val="1"/>
      <w:numFmt w:val="bullet"/>
      <w:lvlText w:val="•"/>
      <w:lvlJc w:val="left"/>
      <w:pPr>
        <w:ind w:left="4052" w:hanging="219"/>
      </w:pPr>
      <w:rPr>
        <w:rFonts w:hint="default"/>
      </w:rPr>
    </w:lvl>
    <w:lvl w:ilvl="5" w:tplc="B92C66BE">
      <w:start w:val="1"/>
      <w:numFmt w:val="bullet"/>
      <w:lvlText w:val="•"/>
      <w:lvlJc w:val="left"/>
      <w:pPr>
        <w:ind w:left="4970" w:hanging="219"/>
      </w:pPr>
      <w:rPr>
        <w:rFonts w:hint="default"/>
      </w:rPr>
    </w:lvl>
    <w:lvl w:ilvl="6" w:tplc="E0BE968C">
      <w:start w:val="1"/>
      <w:numFmt w:val="bullet"/>
      <w:lvlText w:val="•"/>
      <w:lvlJc w:val="left"/>
      <w:pPr>
        <w:ind w:left="5888" w:hanging="219"/>
      </w:pPr>
      <w:rPr>
        <w:rFonts w:hint="default"/>
      </w:rPr>
    </w:lvl>
    <w:lvl w:ilvl="7" w:tplc="058E892A">
      <w:start w:val="1"/>
      <w:numFmt w:val="bullet"/>
      <w:lvlText w:val="•"/>
      <w:lvlJc w:val="left"/>
      <w:pPr>
        <w:ind w:left="6806" w:hanging="219"/>
      </w:pPr>
      <w:rPr>
        <w:rFonts w:hint="default"/>
      </w:rPr>
    </w:lvl>
    <w:lvl w:ilvl="8" w:tplc="AF189FB6">
      <w:start w:val="1"/>
      <w:numFmt w:val="bullet"/>
      <w:lvlText w:val="•"/>
      <w:lvlJc w:val="left"/>
      <w:pPr>
        <w:ind w:left="7724" w:hanging="219"/>
      </w:pPr>
      <w:rPr>
        <w:rFonts w:hint="default"/>
      </w:rPr>
    </w:lvl>
  </w:abstractNum>
  <w:abstractNum w:abstractNumId="2" w15:restartNumberingAfterBreak="0">
    <w:nsid w:val="540D3501"/>
    <w:multiLevelType w:val="hybridMultilevel"/>
    <w:tmpl w:val="5E402158"/>
    <w:lvl w:ilvl="0" w:tplc="733E861C">
      <w:start w:val="1"/>
      <w:numFmt w:val="bullet"/>
      <w:lvlText w:val=""/>
      <w:lvlJc w:val="left"/>
      <w:pPr>
        <w:ind w:left="1180" w:hanging="360"/>
      </w:pPr>
      <w:rPr>
        <w:rFonts w:ascii="Symbol" w:eastAsia="Symbol" w:hAnsi="Symbol" w:cs="Symbol" w:hint="default"/>
        <w:w w:val="100"/>
        <w:sz w:val="22"/>
        <w:szCs w:val="22"/>
      </w:rPr>
    </w:lvl>
    <w:lvl w:ilvl="1" w:tplc="8B06D2F8">
      <w:start w:val="1"/>
      <w:numFmt w:val="bullet"/>
      <w:lvlText w:val="o"/>
      <w:lvlJc w:val="left"/>
      <w:pPr>
        <w:ind w:left="1900" w:hanging="360"/>
      </w:pPr>
      <w:rPr>
        <w:rFonts w:ascii="Courier New" w:eastAsia="Courier New" w:hAnsi="Courier New" w:cs="Courier New" w:hint="default"/>
        <w:w w:val="100"/>
        <w:sz w:val="22"/>
        <w:szCs w:val="22"/>
      </w:rPr>
    </w:lvl>
    <w:lvl w:ilvl="2" w:tplc="F3EC2C22">
      <w:start w:val="1"/>
      <w:numFmt w:val="bullet"/>
      <w:lvlText w:val="•"/>
      <w:lvlJc w:val="left"/>
      <w:pPr>
        <w:ind w:left="2748" w:hanging="360"/>
      </w:pPr>
      <w:rPr>
        <w:rFonts w:hint="default"/>
      </w:rPr>
    </w:lvl>
    <w:lvl w:ilvl="3" w:tplc="591E6FB8">
      <w:start w:val="1"/>
      <w:numFmt w:val="bullet"/>
      <w:lvlText w:val="•"/>
      <w:lvlJc w:val="left"/>
      <w:pPr>
        <w:ind w:left="3597" w:hanging="360"/>
      </w:pPr>
      <w:rPr>
        <w:rFonts w:hint="default"/>
      </w:rPr>
    </w:lvl>
    <w:lvl w:ilvl="4" w:tplc="5F90745C">
      <w:start w:val="1"/>
      <w:numFmt w:val="bullet"/>
      <w:lvlText w:val="•"/>
      <w:lvlJc w:val="left"/>
      <w:pPr>
        <w:ind w:left="4446" w:hanging="360"/>
      </w:pPr>
      <w:rPr>
        <w:rFonts w:hint="default"/>
      </w:rPr>
    </w:lvl>
    <w:lvl w:ilvl="5" w:tplc="8334E49C">
      <w:start w:val="1"/>
      <w:numFmt w:val="bullet"/>
      <w:lvlText w:val="•"/>
      <w:lvlJc w:val="left"/>
      <w:pPr>
        <w:ind w:left="5295" w:hanging="360"/>
      </w:pPr>
      <w:rPr>
        <w:rFonts w:hint="default"/>
      </w:rPr>
    </w:lvl>
    <w:lvl w:ilvl="6" w:tplc="D43826FA">
      <w:start w:val="1"/>
      <w:numFmt w:val="bullet"/>
      <w:lvlText w:val="•"/>
      <w:lvlJc w:val="left"/>
      <w:pPr>
        <w:ind w:left="6144" w:hanging="360"/>
      </w:pPr>
      <w:rPr>
        <w:rFonts w:hint="default"/>
      </w:rPr>
    </w:lvl>
    <w:lvl w:ilvl="7" w:tplc="90A2FD4C">
      <w:start w:val="1"/>
      <w:numFmt w:val="bullet"/>
      <w:lvlText w:val="•"/>
      <w:lvlJc w:val="left"/>
      <w:pPr>
        <w:ind w:left="6993" w:hanging="360"/>
      </w:pPr>
      <w:rPr>
        <w:rFonts w:hint="default"/>
      </w:rPr>
    </w:lvl>
    <w:lvl w:ilvl="8" w:tplc="FE2A1DCA">
      <w:start w:val="1"/>
      <w:numFmt w:val="bullet"/>
      <w:lvlText w:val="•"/>
      <w:lvlJc w:val="left"/>
      <w:pPr>
        <w:ind w:left="784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E5"/>
    <w:rsid w:val="00011360"/>
    <w:rsid w:val="00012F80"/>
    <w:rsid w:val="00037E08"/>
    <w:rsid w:val="00052386"/>
    <w:rsid w:val="000725C9"/>
    <w:rsid w:val="000F0729"/>
    <w:rsid w:val="000F10CA"/>
    <w:rsid w:val="00100CCB"/>
    <w:rsid w:val="001677A5"/>
    <w:rsid w:val="00190255"/>
    <w:rsid w:val="00190C9A"/>
    <w:rsid w:val="001B2947"/>
    <w:rsid w:val="001E00C8"/>
    <w:rsid w:val="00236F40"/>
    <w:rsid w:val="00237A28"/>
    <w:rsid w:val="002B7818"/>
    <w:rsid w:val="00392BDC"/>
    <w:rsid w:val="003B1B26"/>
    <w:rsid w:val="003C643B"/>
    <w:rsid w:val="003D2853"/>
    <w:rsid w:val="00410586"/>
    <w:rsid w:val="00423437"/>
    <w:rsid w:val="00424E6D"/>
    <w:rsid w:val="00433B6F"/>
    <w:rsid w:val="004362AD"/>
    <w:rsid w:val="004575A4"/>
    <w:rsid w:val="004667FD"/>
    <w:rsid w:val="00494B7C"/>
    <w:rsid w:val="004A4B32"/>
    <w:rsid w:val="00543093"/>
    <w:rsid w:val="005856D7"/>
    <w:rsid w:val="005A3066"/>
    <w:rsid w:val="005E024A"/>
    <w:rsid w:val="006272BA"/>
    <w:rsid w:val="00682D8A"/>
    <w:rsid w:val="006B0DE5"/>
    <w:rsid w:val="006C4B2E"/>
    <w:rsid w:val="006C621B"/>
    <w:rsid w:val="007034A0"/>
    <w:rsid w:val="0070518A"/>
    <w:rsid w:val="007149CA"/>
    <w:rsid w:val="00716481"/>
    <w:rsid w:val="007164E5"/>
    <w:rsid w:val="00741D8D"/>
    <w:rsid w:val="007B5C4A"/>
    <w:rsid w:val="007C29CE"/>
    <w:rsid w:val="00837FEB"/>
    <w:rsid w:val="00874A90"/>
    <w:rsid w:val="00880BE7"/>
    <w:rsid w:val="008867C3"/>
    <w:rsid w:val="008D610A"/>
    <w:rsid w:val="008E154F"/>
    <w:rsid w:val="00916F1E"/>
    <w:rsid w:val="0099600C"/>
    <w:rsid w:val="009B551A"/>
    <w:rsid w:val="009C1D3A"/>
    <w:rsid w:val="009D20A6"/>
    <w:rsid w:val="009D3529"/>
    <w:rsid w:val="009E124C"/>
    <w:rsid w:val="00A11070"/>
    <w:rsid w:val="00A12705"/>
    <w:rsid w:val="00AA4D28"/>
    <w:rsid w:val="00AB67D2"/>
    <w:rsid w:val="00AF415F"/>
    <w:rsid w:val="00B27360"/>
    <w:rsid w:val="00B37B24"/>
    <w:rsid w:val="00B6758C"/>
    <w:rsid w:val="00B8551A"/>
    <w:rsid w:val="00B86D26"/>
    <w:rsid w:val="00BF1716"/>
    <w:rsid w:val="00C02133"/>
    <w:rsid w:val="00C054E8"/>
    <w:rsid w:val="00C50CE7"/>
    <w:rsid w:val="00C65060"/>
    <w:rsid w:val="00CE17E4"/>
    <w:rsid w:val="00D3606D"/>
    <w:rsid w:val="00D64A96"/>
    <w:rsid w:val="00D971AE"/>
    <w:rsid w:val="00DE05CA"/>
    <w:rsid w:val="00DE6C80"/>
    <w:rsid w:val="00E24016"/>
    <w:rsid w:val="00E26561"/>
    <w:rsid w:val="00E26F28"/>
    <w:rsid w:val="00E41EA1"/>
    <w:rsid w:val="00EA6994"/>
    <w:rsid w:val="00EA6C5A"/>
    <w:rsid w:val="00ED296A"/>
    <w:rsid w:val="00F02084"/>
    <w:rsid w:val="00F46DC8"/>
    <w:rsid w:val="00F54D0C"/>
    <w:rsid w:val="00F61F52"/>
    <w:rsid w:val="00F77ECE"/>
    <w:rsid w:val="00FC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B0363"/>
  <w15:docId w15:val="{76DF87E0-AF32-4A57-931D-1D736ED1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98"/>
      <w:outlineLvl w:val="0"/>
    </w:pPr>
    <w:rPr>
      <w:b/>
      <w:bCs/>
    </w:rPr>
  </w:style>
  <w:style w:type="paragraph" w:styleId="Heading2">
    <w:name w:val="heading 2"/>
    <w:basedOn w:val="Normal"/>
    <w:next w:val="Normal"/>
    <w:link w:val="Heading2Char"/>
    <w:uiPriority w:val="9"/>
    <w:unhideWhenUsed/>
    <w:qFormat/>
    <w:rsid w:val="00C65060"/>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65060"/>
    <w:pPr>
      <w:keepNext/>
      <w:keepLines/>
      <w:widowControl/>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spacing w:line="265" w:lineRule="exact"/>
      <w:ind w:left="108"/>
    </w:pPr>
  </w:style>
  <w:style w:type="character" w:styleId="Hyperlink">
    <w:name w:val="Hyperlink"/>
    <w:basedOn w:val="DefaultParagraphFont"/>
    <w:uiPriority w:val="99"/>
    <w:unhideWhenUsed/>
    <w:rsid w:val="00237A28"/>
    <w:rPr>
      <w:color w:val="0000FF" w:themeColor="hyperlink"/>
      <w:u w:val="single"/>
    </w:rPr>
  </w:style>
  <w:style w:type="character" w:styleId="FollowedHyperlink">
    <w:name w:val="FollowedHyperlink"/>
    <w:basedOn w:val="DefaultParagraphFont"/>
    <w:uiPriority w:val="99"/>
    <w:semiHidden/>
    <w:unhideWhenUsed/>
    <w:rsid w:val="00237A28"/>
    <w:rPr>
      <w:color w:val="800080" w:themeColor="followedHyperlink"/>
      <w:u w:val="single"/>
    </w:rPr>
  </w:style>
  <w:style w:type="paragraph" w:styleId="BalloonText">
    <w:name w:val="Balloon Text"/>
    <w:basedOn w:val="Normal"/>
    <w:link w:val="BalloonTextChar"/>
    <w:uiPriority w:val="99"/>
    <w:semiHidden/>
    <w:unhideWhenUsed/>
    <w:rsid w:val="00714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9CA"/>
    <w:rPr>
      <w:rFonts w:ascii="Segoe UI" w:eastAsia="Calibri" w:hAnsi="Segoe UI" w:cs="Segoe UI"/>
      <w:sz w:val="18"/>
      <w:szCs w:val="18"/>
    </w:rPr>
  </w:style>
  <w:style w:type="table" w:styleId="GridTable1Light-Accent2">
    <w:name w:val="Grid Table 1 Light Accent 2"/>
    <w:basedOn w:val="TableNormal"/>
    <w:uiPriority w:val="46"/>
    <w:rsid w:val="0070518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0518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0518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D3606D"/>
    <w:rPr>
      <w:sz w:val="16"/>
      <w:szCs w:val="16"/>
    </w:rPr>
  </w:style>
  <w:style w:type="paragraph" w:styleId="CommentText">
    <w:name w:val="annotation text"/>
    <w:basedOn w:val="Normal"/>
    <w:link w:val="CommentTextChar"/>
    <w:uiPriority w:val="99"/>
    <w:semiHidden/>
    <w:unhideWhenUsed/>
    <w:rsid w:val="00D3606D"/>
    <w:rPr>
      <w:sz w:val="20"/>
      <w:szCs w:val="20"/>
    </w:rPr>
  </w:style>
  <w:style w:type="character" w:customStyle="1" w:styleId="CommentTextChar">
    <w:name w:val="Comment Text Char"/>
    <w:basedOn w:val="DefaultParagraphFont"/>
    <w:link w:val="CommentText"/>
    <w:uiPriority w:val="99"/>
    <w:semiHidden/>
    <w:rsid w:val="00D360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606D"/>
    <w:rPr>
      <w:b/>
      <w:bCs/>
    </w:rPr>
  </w:style>
  <w:style w:type="character" w:customStyle="1" w:styleId="CommentSubjectChar">
    <w:name w:val="Comment Subject Char"/>
    <w:basedOn w:val="CommentTextChar"/>
    <w:link w:val="CommentSubject"/>
    <w:uiPriority w:val="99"/>
    <w:semiHidden/>
    <w:rsid w:val="00D3606D"/>
    <w:rPr>
      <w:rFonts w:ascii="Calibri" w:eastAsia="Calibri" w:hAnsi="Calibri" w:cs="Calibri"/>
      <w:b/>
      <w:bCs/>
      <w:sz w:val="20"/>
      <w:szCs w:val="20"/>
    </w:rPr>
  </w:style>
  <w:style w:type="paragraph" w:styleId="Revision">
    <w:name w:val="Revision"/>
    <w:hidden/>
    <w:uiPriority w:val="99"/>
    <w:semiHidden/>
    <w:rsid w:val="00D3606D"/>
    <w:pPr>
      <w:widowControl/>
    </w:pPr>
    <w:rPr>
      <w:rFonts w:ascii="Calibri" w:eastAsia="Calibri" w:hAnsi="Calibri" w:cs="Calibri"/>
    </w:rPr>
  </w:style>
  <w:style w:type="paragraph" w:styleId="BlockText">
    <w:name w:val="Block Text"/>
    <w:basedOn w:val="Normal"/>
    <w:uiPriority w:val="99"/>
    <w:unhideWhenUsed/>
    <w:rsid w:val="008867C3"/>
    <w:pPr>
      <w:spacing w:before="19"/>
      <w:ind w:left="2709" w:right="2689" w:firstLine="124"/>
    </w:pPr>
    <w:rPr>
      <w:b/>
      <w:sz w:val="28"/>
    </w:rPr>
  </w:style>
  <w:style w:type="table" w:styleId="GridTable2-Accent4">
    <w:name w:val="Grid Table 2 Accent 4"/>
    <w:basedOn w:val="TableNormal"/>
    <w:uiPriority w:val="47"/>
    <w:rsid w:val="0019025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Header">
    <w:name w:val="header"/>
    <w:basedOn w:val="Normal"/>
    <w:link w:val="HeaderChar"/>
    <w:uiPriority w:val="99"/>
    <w:unhideWhenUsed/>
    <w:rsid w:val="00190255"/>
    <w:pPr>
      <w:tabs>
        <w:tab w:val="center" w:pos="4680"/>
        <w:tab w:val="right" w:pos="9360"/>
      </w:tabs>
    </w:pPr>
  </w:style>
  <w:style w:type="character" w:customStyle="1" w:styleId="HeaderChar">
    <w:name w:val="Header Char"/>
    <w:basedOn w:val="DefaultParagraphFont"/>
    <w:link w:val="Header"/>
    <w:uiPriority w:val="99"/>
    <w:rsid w:val="00190255"/>
    <w:rPr>
      <w:rFonts w:ascii="Calibri" w:eastAsia="Calibri" w:hAnsi="Calibri" w:cs="Calibri"/>
    </w:rPr>
  </w:style>
  <w:style w:type="paragraph" w:styleId="Footer">
    <w:name w:val="footer"/>
    <w:basedOn w:val="Normal"/>
    <w:link w:val="FooterChar"/>
    <w:uiPriority w:val="99"/>
    <w:unhideWhenUsed/>
    <w:rsid w:val="00190255"/>
    <w:pPr>
      <w:tabs>
        <w:tab w:val="center" w:pos="4680"/>
        <w:tab w:val="right" w:pos="9360"/>
      </w:tabs>
    </w:pPr>
  </w:style>
  <w:style w:type="character" w:customStyle="1" w:styleId="FooterChar">
    <w:name w:val="Footer Char"/>
    <w:basedOn w:val="DefaultParagraphFont"/>
    <w:link w:val="Footer"/>
    <w:uiPriority w:val="99"/>
    <w:rsid w:val="00190255"/>
    <w:rPr>
      <w:rFonts w:ascii="Calibri" w:eastAsia="Calibri" w:hAnsi="Calibri" w:cs="Calibri"/>
    </w:rPr>
  </w:style>
  <w:style w:type="character" w:customStyle="1" w:styleId="Heading2Char">
    <w:name w:val="Heading 2 Char"/>
    <w:basedOn w:val="DefaultParagraphFont"/>
    <w:link w:val="Heading2"/>
    <w:uiPriority w:val="9"/>
    <w:rsid w:val="00C650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6506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C6506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65060"/>
    <w:rPr>
      <w:b/>
      <w:bCs/>
    </w:rPr>
  </w:style>
  <w:style w:type="table" w:styleId="TableGrid">
    <w:name w:val="Table Grid"/>
    <w:basedOn w:val="TableNormal"/>
    <w:uiPriority w:val="39"/>
    <w:rsid w:val="00167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A6C5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42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dh.duke.edu/" TargetMode="External"/><Relationship Id="rId18" Type="http://schemas.openxmlformats.org/officeDocument/2006/relationships/hyperlink" Target="https://medschool.duke.edu/about-us/equity-diversity-and-inclusion" TargetMode="External"/><Relationship Id="rId26" Type="http://schemas.openxmlformats.org/officeDocument/2006/relationships/hyperlink" Target="mailto:compliance@dm.duke.edu" TargetMode="External"/><Relationship Id="rId39" Type="http://schemas.openxmlformats.org/officeDocument/2006/relationships/hyperlink" Target="https://www.ncmedboard.org/resources-information/professional-resources/laws-rules-position-statements/position-statements/the_medical_supervisor-trainee_relationship" TargetMode="External"/><Relationship Id="rId21" Type="http://schemas.openxmlformats.org/officeDocument/2006/relationships/hyperlink" Target="https://www.hsq.dukehealth.org/professionalism/" TargetMode="External"/><Relationship Id="rId34" Type="http://schemas.openxmlformats.org/officeDocument/2006/relationships/hyperlink" Target="https://oie.duke.edu/ppdhr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e.duke.edu" TargetMode="External"/><Relationship Id="rId20" Type="http://schemas.openxmlformats.org/officeDocument/2006/relationships/hyperlink" Target="https://hr.duke.edu/wellness/eohw" TargetMode="External"/><Relationship Id="rId29" Type="http://schemas.openxmlformats.org/officeDocument/2006/relationships/hyperlink" Target="https://dosi.duke.edu/misconduct-researc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duke.edu/" TargetMode="External"/><Relationship Id="rId24" Type="http://schemas.openxmlformats.org/officeDocument/2006/relationships/hyperlink" Target="mailto:cynthia.gordon@duke.edu" TargetMode="External"/><Relationship Id="rId32" Type="http://schemas.openxmlformats.org/officeDocument/2006/relationships/hyperlink" Target="mailto:dukecoi@dm.duke.edu" TargetMode="External"/><Relationship Id="rId37" Type="http://schemas.openxmlformats.org/officeDocument/2006/relationships/hyperlink" Target="https://www.aamc.org/what-we-do/mission-areas/medical-research/resident-compact" TargetMode="External"/><Relationship Id="rId40" Type="http://schemas.openxmlformats.org/officeDocument/2006/relationships/hyperlink" Target="mailto:facdev@dm.duke.edu" TargetMode="External"/><Relationship Id="rId5" Type="http://schemas.openxmlformats.org/officeDocument/2006/relationships/webSettings" Target="webSettings.xml"/><Relationship Id="rId15" Type="http://schemas.openxmlformats.org/officeDocument/2006/relationships/hyperlink" Target="https://values.duke.edu/speak-up-reporting/" TargetMode="External"/><Relationship Id="rId23" Type="http://schemas.openxmlformats.org/officeDocument/2006/relationships/hyperlink" Target="mailto:diana.mcneill@duke.edu" TargetMode="External"/><Relationship Id="rId28" Type="http://schemas.openxmlformats.org/officeDocument/2006/relationships/hyperlink" Target="mailto:oarc@duke.edu" TargetMode="External"/><Relationship Id="rId36" Type="http://schemas.openxmlformats.org/officeDocument/2006/relationships/hyperlink" Target="https://provost.duke.edu/policies-resources/faculty-handbook" TargetMode="External"/><Relationship Id="rId10" Type="http://schemas.openxmlformats.org/officeDocument/2006/relationships/hyperlink" Target="http://marlowe.duhs.duke.edu/__852568640049EEC2.nsf/0/F4186C34CD41D8F985256E3E006C902C?Open" TargetMode="External"/><Relationship Id="rId19" Type="http://schemas.openxmlformats.org/officeDocument/2006/relationships/hyperlink" Target="https://pas.duke.edu/" TargetMode="External"/><Relationship Id="rId31" Type="http://schemas.openxmlformats.org/officeDocument/2006/relationships/hyperlink" Target="https://dosi.duke.edu/conflict-interest" TargetMode="External"/><Relationship Id="rId4" Type="http://schemas.openxmlformats.org/officeDocument/2006/relationships/settings" Target="settings.xml"/><Relationship Id="rId9" Type="http://schemas.openxmlformats.org/officeDocument/2006/relationships/hyperlink" Target="http://marlowe.duhs.duke.edu/__852568640049EEC2.nsf/0/F4186C34CD41D8F985256E3E006C902C?Open" TargetMode="External"/><Relationship Id="rId14" Type="http://schemas.openxmlformats.org/officeDocument/2006/relationships/hyperlink" Target="mailto:patientvisitorrelations@dm.duke.edu" TargetMode="External"/><Relationship Id="rId22" Type="http://schemas.openxmlformats.org/officeDocument/2006/relationships/hyperlink" Target="mailto:william.richardson@duke.edu" TargetMode="External"/><Relationship Id="rId27" Type="http://schemas.openxmlformats.org/officeDocument/2006/relationships/hyperlink" Target="https://oarc.duke.edu/" TargetMode="External"/><Relationship Id="rId30" Type="http://schemas.openxmlformats.org/officeDocument/2006/relationships/hyperlink" Target="mailto:donna.kessler@duke.edu" TargetMode="External"/><Relationship Id="rId35" Type="http://schemas.openxmlformats.org/officeDocument/2006/relationships/hyperlink" Target="https://medschool.duke.edu/education/health-professions-education-programs/learning-environment-well-being/reporting"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values.duke.edu/speak-up-reporting/" TargetMode="External"/><Relationship Id="rId17" Type="http://schemas.openxmlformats.org/officeDocument/2006/relationships/hyperlink" Target="https://ombuds.duke.edu/" TargetMode="External"/><Relationship Id="rId25" Type="http://schemas.openxmlformats.org/officeDocument/2006/relationships/hyperlink" Target="https://intranet.dh.duke.edu/compliance/SitePages/Home.aspx" TargetMode="External"/><Relationship Id="rId33" Type="http://schemas.openxmlformats.org/officeDocument/2006/relationships/hyperlink" Target="https://medschool.duke.edu/about-us/leadership-and-administration" TargetMode="External"/><Relationship Id="rId38" Type="http://schemas.openxmlformats.org/officeDocument/2006/relationships/hyperlink" Target="https://www.acgme.org/What-We-Do/Accreditation/Common-Progra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C43D-A8DB-4906-B7DF-9FB57A4B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 Crosmer</dc:creator>
  <cp:lastModifiedBy>Fiona Johann</cp:lastModifiedBy>
  <cp:revision>2</cp:revision>
  <cp:lastPrinted>2019-09-03T16:32:00Z</cp:lastPrinted>
  <dcterms:created xsi:type="dcterms:W3CDTF">2022-07-08T12:26:00Z</dcterms:created>
  <dcterms:modified xsi:type="dcterms:W3CDTF">2022-07-08T12:26:00Z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2012-07-16T00:00:00Z</vt:filetime>
  </property>
  <property fmtid="{D5CDD505-2E9C-101B-9397-08002B2CF9AE}" pid="3" name="Creator">
    <vt:lpwstr>Microsoft® Word 2010</vt:lpwstr>
  </property>
  <property fmtid="{D5CDD505-2E9C-101B-9397-08002B2CF9AE}" pid="4" name="LastSaved">
    <vt:filetime>2016-09-16T00:00:00Z</vt:filetime>
  </property>
</Properties>
</file>