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D761C" w14:textId="40BF16D0" w:rsidR="007F6D98" w:rsidRDefault="007F6D98" w:rsidP="00F112C0">
      <w:pPr>
        <w:jc w:val="center"/>
        <w:rPr>
          <w:b/>
          <w:bCs/>
          <w:color w:val="FF0000"/>
        </w:rPr>
      </w:pPr>
      <w:r>
        <w:rPr>
          <w:b/>
          <w:bCs/>
          <w:color w:val="FF0000"/>
        </w:rPr>
        <w:t>Please note that all Duke-sponsored regulatory submissions to the FDA (or other federal regulatory agency) must be reviewed and submitted by the Duke Office of Regulatory Affairs and Quality (ORAQ).</w:t>
      </w:r>
    </w:p>
    <w:p w14:paraId="7DDB0220" w14:textId="77777777" w:rsidR="007F6D98" w:rsidRDefault="007F6D98" w:rsidP="00F112C0">
      <w:pPr>
        <w:jc w:val="center"/>
        <w:rPr>
          <w:b/>
          <w:caps/>
          <w:sz w:val="28"/>
          <w:szCs w:val="28"/>
        </w:rPr>
      </w:pPr>
    </w:p>
    <w:p w14:paraId="4EBF9DD3" w14:textId="532F94D4" w:rsidR="003D4D9E" w:rsidRDefault="003906D7" w:rsidP="00F112C0">
      <w:pPr>
        <w:jc w:val="center"/>
        <w:rPr>
          <w:b/>
          <w:caps/>
          <w:sz w:val="28"/>
          <w:szCs w:val="28"/>
        </w:rPr>
      </w:pPr>
      <w:r>
        <w:rPr>
          <w:b/>
          <w:caps/>
          <w:sz w:val="28"/>
          <w:szCs w:val="28"/>
        </w:rPr>
        <w:t>O</w:t>
      </w:r>
      <w:r w:rsidR="007B0D5B">
        <w:rPr>
          <w:b/>
          <w:caps/>
          <w:sz w:val="28"/>
          <w:szCs w:val="28"/>
        </w:rPr>
        <w:t>verview</w:t>
      </w:r>
      <w:r w:rsidR="003D4D9E" w:rsidRPr="003D4D9E">
        <w:rPr>
          <w:b/>
          <w:caps/>
          <w:sz w:val="28"/>
          <w:szCs w:val="28"/>
        </w:rPr>
        <w:t xml:space="preserve"> –</w:t>
      </w:r>
      <w:r>
        <w:rPr>
          <w:b/>
          <w:caps/>
          <w:sz w:val="28"/>
          <w:szCs w:val="28"/>
        </w:rPr>
        <w:t xml:space="preserve"> </w:t>
      </w:r>
      <w:r w:rsidR="004F3351">
        <w:rPr>
          <w:b/>
          <w:caps/>
          <w:sz w:val="28"/>
          <w:szCs w:val="28"/>
        </w:rPr>
        <w:t xml:space="preserve">IDE </w:t>
      </w:r>
      <w:r w:rsidR="0080062E">
        <w:rPr>
          <w:b/>
          <w:caps/>
          <w:sz w:val="28"/>
          <w:szCs w:val="28"/>
        </w:rPr>
        <w:t>supplements</w:t>
      </w:r>
      <w:r w:rsidR="005713E7">
        <w:rPr>
          <w:b/>
          <w:caps/>
          <w:sz w:val="28"/>
          <w:szCs w:val="28"/>
        </w:rPr>
        <w:t xml:space="preserve">, </w:t>
      </w:r>
      <w:proofErr w:type="gramStart"/>
      <w:r w:rsidR="005713E7">
        <w:rPr>
          <w:b/>
          <w:caps/>
          <w:sz w:val="28"/>
          <w:szCs w:val="28"/>
        </w:rPr>
        <w:t>Reports</w:t>
      </w:r>
      <w:proofErr w:type="gramEnd"/>
      <w:r w:rsidR="005713E7">
        <w:rPr>
          <w:b/>
          <w:caps/>
          <w:sz w:val="28"/>
          <w:szCs w:val="28"/>
        </w:rPr>
        <w:t xml:space="preserve"> and amendments</w:t>
      </w:r>
    </w:p>
    <w:p w14:paraId="01F6F603" w14:textId="77777777" w:rsidR="00550CE5" w:rsidRPr="003906D7" w:rsidRDefault="00550CE5" w:rsidP="003906D7">
      <w:pPr>
        <w:pStyle w:val="Heading1"/>
      </w:pPr>
      <w:r w:rsidRPr="003906D7">
        <w:t xml:space="preserve">What is the difference between </w:t>
      </w:r>
      <w:r w:rsidR="005713E7" w:rsidRPr="003906D7">
        <w:t>a</w:t>
      </w:r>
      <w:r w:rsidR="0080062E" w:rsidRPr="003906D7">
        <w:t xml:space="preserve"> supplement</w:t>
      </w:r>
      <w:r w:rsidR="005713E7" w:rsidRPr="003906D7">
        <w:t xml:space="preserve">, a </w:t>
      </w:r>
      <w:proofErr w:type="gramStart"/>
      <w:r w:rsidR="005713E7" w:rsidRPr="003906D7">
        <w:t>report</w:t>
      </w:r>
      <w:proofErr w:type="gramEnd"/>
      <w:r w:rsidR="005713E7" w:rsidRPr="003906D7">
        <w:t xml:space="preserve"> and an </w:t>
      </w:r>
      <w:r w:rsidR="00943373" w:rsidRPr="003906D7">
        <w:t>amendment</w:t>
      </w:r>
      <w:r w:rsidRPr="003906D7">
        <w:t>?</w:t>
      </w:r>
    </w:p>
    <w:p w14:paraId="7A487580" w14:textId="77777777" w:rsidR="00895AED" w:rsidRDefault="00895AED" w:rsidP="00606B7C">
      <w:pPr>
        <w:ind w:left="360"/>
        <w:rPr>
          <w:b/>
          <w:smallCaps/>
          <w:sz w:val="28"/>
          <w:szCs w:val="28"/>
        </w:rPr>
      </w:pPr>
    </w:p>
    <w:p w14:paraId="48D0BA58" w14:textId="5F476A3A" w:rsidR="0080062E" w:rsidRDefault="0080062E" w:rsidP="00606B7C">
      <w:pPr>
        <w:ind w:left="360"/>
      </w:pPr>
      <w:r w:rsidRPr="00726549">
        <w:rPr>
          <w:b/>
          <w:u w:val="single"/>
        </w:rPr>
        <w:t xml:space="preserve">Supplement </w:t>
      </w:r>
      <w:r w:rsidRPr="0087222A">
        <w:t>-</w:t>
      </w:r>
      <w:r>
        <w:t xml:space="preserve"> is a written </w:t>
      </w:r>
      <w:r w:rsidR="00A0588A">
        <w:t xml:space="preserve">submission </w:t>
      </w:r>
      <w:r>
        <w:t xml:space="preserve">from </w:t>
      </w:r>
      <w:r w:rsidR="004C5ABC">
        <w:t xml:space="preserve">the </w:t>
      </w:r>
      <w:r>
        <w:t>Sponsor-Investigator while</w:t>
      </w:r>
      <w:r w:rsidR="00A0588A">
        <w:t xml:space="preserve"> the</w:t>
      </w:r>
      <w:r>
        <w:t xml:space="preserve"> </w:t>
      </w:r>
      <w:r w:rsidR="00C83DBA">
        <w:t xml:space="preserve">IDE is </w:t>
      </w:r>
      <w:r w:rsidR="00EC6676">
        <w:t>under review or approved (trial is ongoing)</w:t>
      </w:r>
      <w:r w:rsidR="004C5ABC">
        <w:t xml:space="preserve"> regarding changes to the protocol or the device.</w:t>
      </w:r>
      <w:r w:rsidR="002A526D">
        <w:t xml:space="preserve"> Supplements are intended to seek FDA’s approval for something new or different.</w:t>
      </w:r>
    </w:p>
    <w:p w14:paraId="0A89A2B4" w14:textId="46E7CE25" w:rsidR="003B708A" w:rsidRDefault="005713E7" w:rsidP="00606B7C">
      <w:pPr>
        <w:ind w:left="360"/>
      </w:pPr>
      <w:r w:rsidRPr="005713E7">
        <w:rPr>
          <w:b/>
          <w:u w:val="single"/>
        </w:rPr>
        <w:t>Report</w:t>
      </w:r>
      <w:r w:rsidRPr="005713E7">
        <w:rPr>
          <w:u w:val="single"/>
        </w:rPr>
        <w:t xml:space="preserve"> </w:t>
      </w:r>
      <w:r>
        <w:t xml:space="preserve">– is a written </w:t>
      </w:r>
      <w:r w:rsidR="00A0588A">
        <w:t xml:space="preserve">submission </w:t>
      </w:r>
      <w:r>
        <w:t xml:space="preserve">from the Sponsor-Investigator </w:t>
      </w:r>
      <w:r w:rsidR="00C83DBA">
        <w:t xml:space="preserve">while </w:t>
      </w:r>
      <w:r w:rsidR="004F3351">
        <w:t xml:space="preserve">the </w:t>
      </w:r>
      <w:r w:rsidR="00C83DBA">
        <w:t xml:space="preserve">IDE is </w:t>
      </w:r>
      <w:r w:rsidR="00D128E3">
        <w:t>approved</w:t>
      </w:r>
      <w:r w:rsidR="004C5ABC">
        <w:t xml:space="preserve"> </w:t>
      </w:r>
      <w:r w:rsidR="00C83DBA">
        <w:t>regarding study progress and unanticipated events.</w:t>
      </w:r>
      <w:r w:rsidR="005823CE">
        <w:t xml:space="preserve"> </w:t>
      </w:r>
      <w:r w:rsidR="002A526D">
        <w:t>Reports are intended to provide notification or updates for FDA’s routine monitoring of a clinical investigation.</w:t>
      </w:r>
    </w:p>
    <w:p w14:paraId="5D3399F9" w14:textId="1DD3500F" w:rsidR="005713E7" w:rsidRDefault="005713E7" w:rsidP="00606B7C">
      <w:pPr>
        <w:ind w:left="360"/>
      </w:pPr>
      <w:r w:rsidRPr="00726549">
        <w:rPr>
          <w:b/>
          <w:u w:val="single"/>
        </w:rPr>
        <w:t>Amendment</w:t>
      </w:r>
      <w:r w:rsidRPr="0087222A">
        <w:rPr>
          <w:u w:val="single"/>
        </w:rPr>
        <w:t xml:space="preserve"> </w:t>
      </w:r>
      <w:r>
        <w:t xml:space="preserve">- is a written </w:t>
      </w:r>
      <w:r w:rsidR="00A0588A">
        <w:t xml:space="preserve">submission </w:t>
      </w:r>
      <w:r>
        <w:t xml:space="preserve">from </w:t>
      </w:r>
      <w:r w:rsidR="004C5ABC">
        <w:t xml:space="preserve">the </w:t>
      </w:r>
      <w:r>
        <w:t xml:space="preserve">Sponsor-Investigator </w:t>
      </w:r>
      <w:r w:rsidR="00583AA3">
        <w:t xml:space="preserve">in response to the FDA’s request for more information </w:t>
      </w:r>
      <w:r w:rsidR="004C5ABC">
        <w:t xml:space="preserve">regarding </w:t>
      </w:r>
      <w:r w:rsidR="00583AA3">
        <w:t xml:space="preserve">a previous </w:t>
      </w:r>
      <w:r w:rsidR="0068083C" w:rsidRPr="0068083C">
        <w:t xml:space="preserve">supplement, report, or </w:t>
      </w:r>
      <w:r w:rsidR="00D128E3">
        <w:t>original</w:t>
      </w:r>
      <w:r w:rsidR="0068083C" w:rsidRPr="0068083C">
        <w:t xml:space="preserve"> IDE</w:t>
      </w:r>
      <w:r w:rsidR="00583AA3">
        <w:t>.</w:t>
      </w:r>
    </w:p>
    <w:p w14:paraId="5BA0D14C" w14:textId="2EA69940" w:rsidR="00895AED" w:rsidRDefault="005C1E0C" w:rsidP="003906D7">
      <w:pPr>
        <w:pStyle w:val="Heading1"/>
      </w:pPr>
      <w:r>
        <w:t>W</w:t>
      </w:r>
      <w:r w:rsidR="004C5ABC">
        <w:t xml:space="preserve">hat </w:t>
      </w:r>
      <w:r w:rsidR="00020164">
        <w:t>kinds of submissions fall</w:t>
      </w:r>
      <w:r w:rsidR="004C5ABC">
        <w:t xml:space="preserve"> into each category</w:t>
      </w:r>
      <w:r w:rsidR="006C160B" w:rsidRPr="006C160B">
        <w:t>?</w:t>
      </w:r>
    </w:p>
    <w:p w14:paraId="438A31A4" w14:textId="77777777" w:rsidR="004C5ABC" w:rsidRDefault="004C5ABC" w:rsidP="0080062E">
      <w:pPr>
        <w:rPr>
          <w:b/>
          <w:smallCaps/>
          <w:sz w:val="28"/>
          <w:szCs w:val="28"/>
        </w:rPr>
      </w:pPr>
    </w:p>
    <w:p w14:paraId="279F4309" w14:textId="77777777" w:rsidR="004C5ABC" w:rsidRPr="004C5ABC" w:rsidRDefault="004C5ABC" w:rsidP="004C5ABC">
      <w:pPr>
        <w:pStyle w:val="NoSpacing"/>
      </w:pPr>
      <w:r w:rsidRPr="004C5ABC">
        <w:rPr>
          <w:b/>
          <w:u w:val="single"/>
        </w:rPr>
        <w:t>Supplements</w:t>
      </w:r>
      <w:r>
        <w:rPr>
          <w:b/>
          <w:u w:val="single"/>
        </w:rPr>
        <w:t xml:space="preserve">: </w:t>
      </w:r>
      <w:r w:rsidRPr="004C5ABC">
        <w:t>The FDA tracks requests for a new protocol, changes to the approved protocol, or changes to the device, such as device design or manufacturing change, as supplements.</w:t>
      </w:r>
    </w:p>
    <w:p w14:paraId="23DB7DAC" w14:textId="6DC1F121" w:rsidR="004C5ABC" w:rsidRPr="004C5ABC" w:rsidRDefault="00864ED5" w:rsidP="004C5ABC">
      <w:pPr>
        <w:pStyle w:val="NoSpacing"/>
        <w:ind w:left="360"/>
      </w:pPr>
      <w:r>
        <w:t>S</w:t>
      </w:r>
      <w:r w:rsidR="004C5ABC">
        <w:t>ubmissions t</w:t>
      </w:r>
      <w:r w:rsidR="004C5ABC" w:rsidRPr="004C5ABC">
        <w:t xml:space="preserve">racked as Supplements include: </w:t>
      </w:r>
    </w:p>
    <w:p w14:paraId="3670FB50" w14:textId="77777777" w:rsidR="004C5ABC" w:rsidRPr="004C5ABC" w:rsidRDefault="004C5ABC" w:rsidP="004C5ABC">
      <w:pPr>
        <w:pStyle w:val="NoSpacing"/>
        <w:numPr>
          <w:ilvl w:val="0"/>
          <w:numId w:val="7"/>
        </w:numPr>
      </w:pPr>
      <w:r w:rsidRPr="004C5ABC">
        <w:t>Change in correspondent, manufacturer, or sponsor</w:t>
      </w:r>
    </w:p>
    <w:p w14:paraId="2765FF03" w14:textId="77777777" w:rsidR="004C5ABC" w:rsidRPr="004C5ABC" w:rsidRDefault="002A526D" w:rsidP="004C5ABC">
      <w:pPr>
        <w:pStyle w:val="NoSpacing"/>
        <w:numPr>
          <w:ilvl w:val="0"/>
          <w:numId w:val="7"/>
        </w:numPr>
      </w:pPr>
      <w:r>
        <w:t>Request for approval of c</w:t>
      </w:r>
      <w:r w:rsidR="004C5ABC" w:rsidRPr="004C5ABC">
        <w:t>hange</w:t>
      </w:r>
      <w:r>
        <w:t>s</w:t>
      </w:r>
      <w:r w:rsidR="004C5ABC" w:rsidRPr="004C5ABC">
        <w:t xml:space="preserve"> in design or manufacturing</w:t>
      </w:r>
    </w:p>
    <w:p w14:paraId="0EF4CC7E" w14:textId="77777777" w:rsidR="004C5ABC" w:rsidRPr="004C5ABC" w:rsidRDefault="002A526D" w:rsidP="004C5ABC">
      <w:pPr>
        <w:pStyle w:val="NoSpacing"/>
        <w:numPr>
          <w:ilvl w:val="0"/>
          <w:numId w:val="7"/>
        </w:numPr>
      </w:pPr>
      <w:r>
        <w:t>Request for approval of  a c</w:t>
      </w:r>
      <w:r w:rsidR="004C5ABC" w:rsidRPr="004C5ABC">
        <w:t>hange in informed consent or protocol</w:t>
      </w:r>
    </w:p>
    <w:p w14:paraId="6055AC4D" w14:textId="77777777" w:rsidR="004C5ABC" w:rsidRPr="004C5ABC" w:rsidRDefault="004C5ABC" w:rsidP="004C5ABC">
      <w:pPr>
        <w:pStyle w:val="NoSpacing"/>
        <w:numPr>
          <w:ilvl w:val="0"/>
          <w:numId w:val="7"/>
        </w:numPr>
      </w:pPr>
      <w:r w:rsidRPr="004C5ABC">
        <w:t>5-day notices</w:t>
      </w:r>
      <w:r w:rsidR="002A526D">
        <w:t>- Notification that changes not requiring prior approval have been made</w:t>
      </w:r>
    </w:p>
    <w:p w14:paraId="51BFFE75" w14:textId="77777777" w:rsidR="004C5ABC" w:rsidRPr="004C5ABC" w:rsidRDefault="004C5ABC" w:rsidP="004C5ABC">
      <w:pPr>
        <w:pStyle w:val="NoSpacing"/>
        <w:numPr>
          <w:ilvl w:val="0"/>
          <w:numId w:val="7"/>
        </w:numPr>
      </w:pPr>
      <w:r w:rsidRPr="004C5ABC">
        <w:t>Request for compassionate use, live case demonstration, or other deviation from approved protocol</w:t>
      </w:r>
    </w:p>
    <w:p w14:paraId="4D91AB57" w14:textId="77777777" w:rsidR="004C5ABC" w:rsidRPr="004C5ABC" w:rsidRDefault="00C215E2" w:rsidP="004C5ABC">
      <w:pPr>
        <w:pStyle w:val="NoSpacing"/>
        <w:numPr>
          <w:ilvl w:val="0"/>
          <w:numId w:val="7"/>
        </w:numPr>
      </w:pPr>
      <w:r>
        <w:t>Request for approval of e</w:t>
      </w:r>
      <w:r w:rsidR="004C5ABC" w:rsidRPr="004C5ABC">
        <w:t xml:space="preserve">xpansion of </w:t>
      </w:r>
      <w:r>
        <w:t xml:space="preserve">the </w:t>
      </w:r>
      <w:r w:rsidR="004C5ABC" w:rsidRPr="004C5ABC">
        <w:t>study (patients and/or sites)</w:t>
      </w:r>
    </w:p>
    <w:p w14:paraId="68670477" w14:textId="77777777" w:rsidR="004C5ABC" w:rsidRPr="004C5ABC" w:rsidRDefault="00C215E2" w:rsidP="004C5ABC">
      <w:pPr>
        <w:pStyle w:val="NoSpacing"/>
        <w:numPr>
          <w:ilvl w:val="0"/>
          <w:numId w:val="7"/>
        </w:numPr>
      </w:pPr>
      <w:r>
        <w:t>Request an e</w:t>
      </w:r>
      <w:r w:rsidR="004C5ABC" w:rsidRPr="004C5ABC">
        <w:t>xtension of time to respond to FDA letter</w:t>
      </w:r>
    </w:p>
    <w:p w14:paraId="53233D98" w14:textId="77777777" w:rsidR="004C5ABC" w:rsidRPr="004C5ABC" w:rsidRDefault="004C5ABC" w:rsidP="004C5ABC">
      <w:pPr>
        <w:pStyle w:val="NoSpacing"/>
        <w:numPr>
          <w:ilvl w:val="0"/>
          <w:numId w:val="7"/>
        </w:numPr>
      </w:pPr>
      <w:r w:rsidRPr="004C5ABC">
        <w:t>Request for waiver</w:t>
      </w:r>
    </w:p>
    <w:p w14:paraId="09FECD6F" w14:textId="77777777" w:rsidR="004C5ABC" w:rsidRPr="004C5ABC" w:rsidRDefault="004C5ABC" w:rsidP="004C5ABC">
      <w:pPr>
        <w:pStyle w:val="NoSpacing"/>
        <w:numPr>
          <w:ilvl w:val="0"/>
          <w:numId w:val="7"/>
        </w:numPr>
      </w:pPr>
      <w:r w:rsidRPr="004C5ABC">
        <w:t>Institutional Review Board (IRB)</w:t>
      </w:r>
      <w:r w:rsidR="00B1123A">
        <w:t xml:space="preserve"> </w:t>
      </w:r>
      <w:r w:rsidRPr="004C5ABC">
        <w:t>certification</w:t>
      </w:r>
    </w:p>
    <w:p w14:paraId="0F1BCD4E" w14:textId="77777777" w:rsidR="004C5ABC" w:rsidRPr="004C5ABC" w:rsidRDefault="004C5ABC" w:rsidP="004C5ABC">
      <w:pPr>
        <w:pStyle w:val="NoSpacing"/>
        <w:numPr>
          <w:ilvl w:val="0"/>
          <w:numId w:val="7"/>
        </w:numPr>
      </w:pPr>
      <w:r w:rsidRPr="004C5ABC">
        <w:t>Request for Centers for Medicare and Medicaid Services (CMS) re</w:t>
      </w:r>
      <w:r w:rsidR="00864ED5">
        <w:t>-</w:t>
      </w:r>
      <w:r w:rsidRPr="004C5ABC">
        <w:t>categorization</w:t>
      </w:r>
    </w:p>
    <w:p w14:paraId="389FE2BB" w14:textId="77777777" w:rsidR="004C5ABC" w:rsidRPr="004C5ABC" w:rsidRDefault="004C5ABC" w:rsidP="004C5ABC">
      <w:pPr>
        <w:pStyle w:val="NoSpacing"/>
        <w:numPr>
          <w:ilvl w:val="0"/>
          <w:numId w:val="7"/>
        </w:numPr>
      </w:pPr>
      <w:r w:rsidRPr="004C5ABC">
        <w:t>Notification of study suspended or resumed</w:t>
      </w:r>
    </w:p>
    <w:p w14:paraId="68C9FF04" w14:textId="77777777" w:rsidR="004C5ABC" w:rsidRPr="004C5ABC" w:rsidRDefault="004C5ABC" w:rsidP="004C5ABC">
      <w:pPr>
        <w:pStyle w:val="NoSpacing"/>
        <w:numPr>
          <w:ilvl w:val="0"/>
          <w:numId w:val="7"/>
        </w:numPr>
      </w:pPr>
      <w:r w:rsidRPr="004C5ABC">
        <w:t>Acknowledgement and response to clinical hold</w:t>
      </w:r>
    </w:p>
    <w:p w14:paraId="2849298D" w14:textId="77777777" w:rsidR="004C5ABC" w:rsidRPr="004C5ABC" w:rsidRDefault="00C215E2" w:rsidP="004C5ABC">
      <w:pPr>
        <w:pStyle w:val="NoSpacing"/>
        <w:numPr>
          <w:ilvl w:val="0"/>
          <w:numId w:val="7"/>
        </w:numPr>
      </w:pPr>
      <w:r>
        <w:t>Request for approval to t</w:t>
      </w:r>
      <w:r w:rsidR="004C5ABC" w:rsidRPr="004C5ABC">
        <w:t>erminat</w:t>
      </w:r>
      <w:r>
        <w:t>e</w:t>
      </w:r>
      <w:r w:rsidR="004C5ABC" w:rsidRPr="004C5ABC">
        <w:t xml:space="preserve"> </w:t>
      </w:r>
      <w:r>
        <w:t>the</w:t>
      </w:r>
      <w:r w:rsidRPr="004C5ABC">
        <w:t xml:space="preserve"> </w:t>
      </w:r>
      <w:r w:rsidR="004C5ABC" w:rsidRPr="004C5ABC">
        <w:t>study without final report</w:t>
      </w:r>
    </w:p>
    <w:p w14:paraId="19CBCBAF" w14:textId="77777777" w:rsidR="007B1A10" w:rsidRDefault="002A526D" w:rsidP="00F270B1">
      <w:pPr>
        <w:pStyle w:val="NoSpacing"/>
        <w:numPr>
          <w:ilvl w:val="0"/>
          <w:numId w:val="7"/>
        </w:numPr>
      </w:pPr>
      <w:r>
        <w:t>Request for approval of a n</w:t>
      </w:r>
      <w:r w:rsidR="004C5ABC" w:rsidRPr="004C5ABC">
        <w:t>ew study or protocol</w:t>
      </w:r>
    </w:p>
    <w:p w14:paraId="3A51BAA9" w14:textId="77777777" w:rsidR="00E1667C" w:rsidRDefault="00E1667C" w:rsidP="004C5ABC">
      <w:pPr>
        <w:pStyle w:val="NoSpacing"/>
      </w:pPr>
    </w:p>
    <w:p w14:paraId="3926C3A3" w14:textId="77777777" w:rsidR="00525EAF" w:rsidRDefault="00525EAF" w:rsidP="004C5ABC">
      <w:pPr>
        <w:pStyle w:val="NoSpacing"/>
        <w:rPr>
          <w:b/>
        </w:rPr>
      </w:pPr>
      <w:r w:rsidRPr="00E1667C">
        <w:rPr>
          <w:b/>
        </w:rPr>
        <w:t>Timeline requirements for supplements:</w:t>
      </w:r>
    </w:p>
    <w:p w14:paraId="1F2C057B" w14:textId="77777777" w:rsidR="00E1667C" w:rsidRPr="00E1667C" w:rsidRDefault="00E1667C" w:rsidP="004C5ABC">
      <w:pPr>
        <w:pStyle w:val="NoSpacing"/>
        <w:rPr>
          <w:b/>
        </w:rPr>
      </w:pPr>
    </w:p>
    <w:p w14:paraId="76DAFB2C" w14:textId="77777777" w:rsidR="00B1123A" w:rsidRDefault="00B1123A" w:rsidP="004C5ABC">
      <w:pPr>
        <w:pStyle w:val="NoSpacing"/>
      </w:pPr>
      <w:r w:rsidRPr="00E1667C">
        <w:rPr>
          <w:b/>
        </w:rPr>
        <w:t xml:space="preserve">Changes </w:t>
      </w:r>
      <w:r w:rsidR="005A089F">
        <w:rPr>
          <w:b/>
        </w:rPr>
        <w:t>requiring prior approval</w:t>
      </w:r>
      <w:r w:rsidRPr="00B1123A">
        <w:t xml:space="preserve"> – most of the time, changes that are made in the Investigational Plan, need to be </w:t>
      </w:r>
      <w:r w:rsidRPr="00E1667C">
        <w:rPr>
          <w:u w:val="single"/>
        </w:rPr>
        <w:t>pre-approved</w:t>
      </w:r>
      <w:r w:rsidRPr="00B1123A">
        <w:t xml:space="preserve"> by FDA. Examples of these changes are: </w:t>
      </w:r>
    </w:p>
    <w:p w14:paraId="49E2CFBA" w14:textId="77777777" w:rsidR="00B1123A" w:rsidRDefault="00B1123A" w:rsidP="00E1667C">
      <w:pPr>
        <w:pStyle w:val="NoSpacing"/>
        <w:numPr>
          <w:ilvl w:val="0"/>
          <w:numId w:val="13"/>
        </w:numPr>
      </w:pPr>
      <w:r w:rsidRPr="00E1667C">
        <w:rPr>
          <w:b/>
        </w:rPr>
        <w:t>Changes in the Investigational Plan or Protocol</w:t>
      </w:r>
      <w:r w:rsidRPr="00B1123A">
        <w:t xml:space="preserve"> </w:t>
      </w:r>
    </w:p>
    <w:p w14:paraId="1D47FF72" w14:textId="77777777" w:rsidR="00B1123A" w:rsidRDefault="00B1123A" w:rsidP="00E1667C">
      <w:pPr>
        <w:pStyle w:val="NoSpacing"/>
        <w:ind w:left="720" w:firstLine="720"/>
      </w:pPr>
      <w:r w:rsidRPr="00B1123A">
        <w:t>-Affecting the validity of data/information,</w:t>
      </w:r>
    </w:p>
    <w:p w14:paraId="6E1F68F7" w14:textId="77777777" w:rsidR="00B1123A" w:rsidRDefault="00B1123A" w:rsidP="00E1667C">
      <w:pPr>
        <w:pStyle w:val="NoSpacing"/>
        <w:ind w:left="720" w:firstLine="720"/>
      </w:pPr>
      <w:r w:rsidRPr="00B1123A">
        <w:lastRenderedPageBreak/>
        <w:t xml:space="preserve">-Patient risk to benefit relationship, </w:t>
      </w:r>
    </w:p>
    <w:p w14:paraId="460AC08B" w14:textId="77777777" w:rsidR="00B1123A" w:rsidRDefault="00B1123A" w:rsidP="00E1667C">
      <w:pPr>
        <w:pStyle w:val="NoSpacing"/>
        <w:ind w:left="720" w:firstLine="720"/>
      </w:pPr>
      <w:r w:rsidRPr="00B1123A">
        <w:t xml:space="preserve">-Scientific soundness of investigational plan, </w:t>
      </w:r>
    </w:p>
    <w:p w14:paraId="2589753B" w14:textId="77777777" w:rsidR="00B1123A" w:rsidRDefault="00B1123A" w:rsidP="00E1667C">
      <w:pPr>
        <w:pStyle w:val="NoSpacing"/>
        <w:ind w:left="720" w:firstLine="720"/>
      </w:pPr>
      <w:r w:rsidRPr="00B1123A">
        <w:t xml:space="preserve">-Right, safety or welfare of subjects. </w:t>
      </w:r>
    </w:p>
    <w:p w14:paraId="25631F05" w14:textId="77777777" w:rsidR="00B1123A" w:rsidRDefault="00B1123A" w:rsidP="00E1667C">
      <w:pPr>
        <w:pStyle w:val="NoSpacing"/>
        <w:numPr>
          <w:ilvl w:val="0"/>
          <w:numId w:val="13"/>
        </w:numPr>
      </w:pPr>
      <w:r w:rsidRPr="00E1667C">
        <w:rPr>
          <w:b/>
        </w:rPr>
        <w:t>Developmental Changes</w:t>
      </w:r>
      <w:r w:rsidRPr="00B1123A">
        <w:t xml:space="preserve"> </w:t>
      </w:r>
      <w:r w:rsidR="005A089F">
        <w:t xml:space="preserve">in the device (including manufacturing changes) </w:t>
      </w:r>
      <w:r w:rsidRPr="00B1123A">
        <w:t xml:space="preserve">that present a significant change in design or basic principle of operation </w:t>
      </w:r>
    </w:p>
    <w:p w14:paraId="66A9BA56" w14:textId="77777777" w:rsidR="00B1123A" w:rsidRDefault="00B1123A" w:rsidP="00E1667C">
      <w:pPr>
        <w:pStyle w:val="NoSpacing"/>
        <w:ind w:firstLine="720"/>
      </w:pPr>
    </w:p>
    <w:p w14:paraId="185E65F0" w14:textId="77777777" w:rsidR="00B1123A" w:rsidRDefault="00583AA3" w:rsidP="00B1123A">
      <w:pPr>
        <w:pStyle w:val="NoSpacing"/>
      </w:pPr>
      <w:r w:rsidRPr="00E1667C">
        <w:rPr>
          <w:b/>
        </w:rPr>
        <w:t xml:space="preserve">Changes </w:t>
      </w:r>
      <w:r w:rsidR="003B708A" w:rsidRPr="00E1667C">
        <w:rPr>
          <w:b/>
        </w:rPr>
        <w:t>requiring 5-day notice</w:t>
      </w:r>
      <w:r w:rsidR="00657898">
        <w:rPr>
          <w:b/>
        </w:rPr>
        <w:t xml:space="preserve"> - </w:t>
      </w:r>
      <w:r w:rsidR="003B708A">
        <w:t>these changes do not require prior approval</w:t>
      </w:r>
      <w:r w:rsidR="005A089F">
        <w:t>, but notice must be provided to FDA within 5 working days of making the change</w:t>
      </w:r>
      <w:r w:rsidR="00B1123A" w:rsidRPr="00B1123A">
        <w:t xml:space="preserve">: </w:t>
      </w:r>
    </w:p>
    <w:p w14:paraId="787962DA" w14:textId="77777777" w:rsidR="00B1123A" w:rsidRDefault="00B1123A" w:rsidP="00E1667C">
      <w:pPr>
        <w:pStyle w:val="NoSpacing"/>
        <w:numPr>
          <w:ilvl w:val="0"/>
          <w:numId w:val="13"/>
        </w:numPr>
      </w:pPr>
      <w:r w:rsidRPr="00E1667C">
        <w:rPr>
          <w:b/>
        </w:rPr>
        <w:t>Changes Effected for Emergency Use</w:t>
      </w:r>
      <w:r w:rsidRPr="00B1123A">
        <w:t xml:space="preserve">-are considered to be changes in the investigational plan to protect the life or well-being of the subject in the case of emergency. However, these changes must be reported to the FDA </w:t>
      </w:r>
      <w:r w:rsidRPr="00E1667C">
        <w:rPr>
          <w:b/>
        </w:rPr>
        <w:t>within 5- working days</w:t>
      </w:r>
      <w:r w:rsidRPr="00B1123A">
        <w:t xml:space="preserve">. </w:t>
      </w:r>
    </w:p>
    <w:p w14:paraId="63D24E03" w14:textId="77777777" w:rsidR="00B1123A" w:rsidRDefault="00B1123A" w:rsidP="00E1667C">
      <w:pPr>
        <w:pStyle w:val="NoSpacing"/>
        <w:numPr>
          <w:ilvl w:val="0"/>
          <w:numId w:val="13"/>
        </w:numPr>
      </w:pPr>
      <w:r w:rsidRPr="00E1667C">
        <w:rPr>
          <w:b/>
        </w:rPr>
        <w:t>Non-significant changes in design or manufacturing</w:t>
      </w:r>
      <w:r w:rsidRPr="00B1123A">
        <w:t xml:space="preserve"> - those changes should also be reported to the FDA within </w:t>
      </w:r>
      <w:r w:rsidRPr="00E1667C">
        <w:rPr>
          <w:b/>
        </w:rPr>
        <w:t>5-working days</w:t>
      </w:r>
      <w:r w:rsidRPr="00B1123A">
        <w:t xml:space="preserve">. </w:t>
      </w:r>
    </w:p>
    <w:p w14:paraId="1607BD02" w14:textId="77777777" w:rsidR="00416EEE" w:rsidRDefault="00416EEE" w:rsidP="00E1667C">
      <w:pPr>
        <w:pStyle w:val="NoSpacing"/>
        <w:numPr>
          <w:ilvl w:val="0"/>
          <w:numId w:val="13"/>
        </w:numPr>
      </w:pPr>
      <w:r>
        <w:rPr>
          <w:b/>
        </w:rPr>
        <w:t xml:space="preserve">Certain changes to the clinical protocol – </w:t>
      </w:r>
      <w:r>
        <w:t>for changes that do not fit the criteria for prior approval such as:</w:t>
      </w:r>
    </w:p>
    <w:p w14:paraId="41EAA921" w14:textId="77777777" w:rsidR="00416EEE" w:rsidRDefault="00416EEE" w:rsidP="00E1667C">
      <w:pPr>
        <w:pStyle w:val="NoSpacing"/>
        <w:numPr>
          <w:ilvl w:val="1"/>
          <w:numId w:val="13"/>
        </w:numPr>
      </w:pPr>
      <w:r>
        <w:t>Modification to inclusion/exclusion criteria to better define the target patient population</w:t>
      </w:r>
    </w:p>
    <w:p w14:paraId="626721B1" w14:textId="77777777" w:rsidR="00416EEE" w:rsidRDefault="00416EEE" w:rsidP="00E1667C">
      <w:pPr>
        <w:pStyle w:val="NoSpacing"/>
        <w:numPr>
          <w:ilvl w:val="1"/>
          <w:numId w:val="13"/>
        </w:numPr>
      </w:pPr>
      <w:r>
        <w:t>Increasing the frequency at which data or information is gathered</w:t>
      </w:r>
    </w:p>
    <w:p w14:paraId="298460D0" w14:textId="77777777" w:rsidR="00416EEE" w:rsidRDefault="00416EEE" w:rsidP="00E1667C">
      <w:pPr>
        <w:pStyle w:val="NoSpacing"/>
        <w:numPr>
          <w:ilvl w:val="1"/>
          <w:numId w:val="13"/>
        </w:numPr>
      </w:pPr>
      <w:r>
        <w:t>Inclusion of additional patient observations or measurements</w:t>
      </w:r>
    </w:p>
    <w:p w14:paraId="5682D969" w14:textId="77777777" w:rsidR="00416EEE" w:rsidRDefault="00416EEE" w:rsidP="00E1667C">
      <w:pPr>
        <w:pStyle w:val="NoSpacing"/>
        <w:numPr>
          <w:ilvl w:val="1"/>
          <w:numId w:val="13"/>
        </w:numPr>
      </w:pPr>
      <w:r>
        <w:t>Modifying second</w:t>
      </w:r>
      <w:r w:rsidR="003E5650">
        <w:t>ary end</w:t>
      </w:r>
      <w:r>
        <w:t>points</w:t>
      </w:r>
    </w:p>
    <w:p w14:paraId="74DB86C7" w14:textId="3E57AC30" w:rsidR="00416EEE" w:rsidRPr="007B3EB2" w:rsidRDefault="00416EEE" w:rsidP="000B3DE6">
      <w:pPr>
        <w:pStyle w:val="NoSpacing"/>
      </w:pPr>
    </w:p>
    <w:p w14:paraId="24CE873E" w14:textId="77777777" w:rsidR="00656A01" w:rsidRDefault="00B1123A" w:rsidP="002A327F">
      <w:pPr>
        <w:pStyle w:val="NoSpacing"/>
      </w:pPr>
      <w:r w:rsidRPr="007B3EB2">
        <w:t>Other</w:t>
      </w:r>
      <w:r w:rsidRPr="00B1123A">
        <w:t xml:space="preserve"> minor changes </w:t>
      </w:r>
      <w:r w:rsidR="00416EEE">
        <w:t>can be submitted in the annual</w:t>
      </w:r>
      <w:r w:rsidR="00656A01">
        <w:t xml:space="preserve"> progress</w:t>
      </w:r>
      <w:r w:rsidR="00416EEE">
        <w:t xml:space="preserve"> report including minor changes in the following areas:</w:t>
      </w:r>
      <w:r w:rsidR="007B3EB2">
        <w:t xml:space="preserve"> t</w:t>
      </w:r>
      <w:r w:rsidR="00416EEE">
        <w:t>he purpose of the study</w:t>
      </w:r>
      <w:r w:rsidR="007B3EB2">
        <w:t>, risk analysis, monitoring procedures, labeling, informed consent materials, and IRB information.</w:t>
      </w:r>
      <w:r w:rsidRPr="00B1123A">
        <w:t xml:space="preserve"> </w:t>
      </w:r>
    </w:p>
    <w:p w14:paraId="22270E3F" w14:textId="77777777" w:rsidR="00583AA3" w:rsidRDefault="00583AA3" w:rsidP="00CC35EC">
      <w:pPr>
        <w:pStyle w:val="NoSpacing"/>
      </w:pPr>
    </w:p>
    <w:p w14:paraId="4F5A4D9E" w14:textId="756C770F" w:rsidR="004C5ABC" w:rsidRDefault="00365930" w:rsidP="00E1667C">
      <w:pPr>
        <w:pStyle w:val="NoSpacing"/>
      </w:pPr>
      <w:r w:rsidRPr="00E1667C">
        <w:rPr>
          <w:b/>
          <w:u w:val="single"/>
        </w:rPr>
        <w:t>Reports:</w:t>
      </w:r>
      <w:r>
        <w:rPr>
          <w:b/>
          <w:u w:val="single"/>
        </w:rPr>
        <w:t xml:space="preserve"> </w:t>
      </w:r>
      <w:r>
        <w:t>Reports to IDEs are submitted for several reasons</w:t>
      </w:r>
      <w:r w:rsidR="00A0588A">
        <w:t>.</w:t>
      </w:r>
      <w:r>
        <w:t xml:space="preserve"> </w:t>
      </w:r>
      <w:r w:rsidR="00A0588A">
        <w:t>S</w:t>
      </w:r>
      <w:r w:rsidR="004C5ABC">
        <w:t>ubmissions track</w:t>
      </w:r>
      <w:r w:rsidR="00220FBA">
        <w:t>ed as r</w:t>
      </w:r>
      <w:r w:rsidR="004C5ABC">
        <w:t xml:space="preserve">eports include:  </w:t>
      </w:r>
    </w:p>
    <w:p w14:paraId="56609238" w14:textId="77777777" w:rsidR="004C5ABC" w:rsidRDefault="00656A01" w:rsidP="004C5ABC">
      <w:pPr>
        <w:pStyle w:val="NoSpacing"/>
        <w:numPr>
          <w:ilvl w:val="0"/>
          <w:numId w:val="8"/>
        </w:numPr>
      </w:pPr>
      <w:r>
        <w:t xml:space="preserve">Unanticipated </w:t>
      </w:r>
      <w:r w:rsidR="004C5ABC">
        <w:t xml:space="preserve">Adverse </w:t>
      </w:r>
      <w:r>
        <w:t xml:space="preserve">Device </w:t>
      </w:r>
      <w:r w:rsidR="004C5ABC">
        <w:t>Effect</w:t>
      </w:r>
    </w:p>
    <w:p w14:paraId="51D656CB" w14:textId="77777777" w:rsidR="004C5ABC" w:rsidRDefault="004C5ABC" w:rsidP="004C5ABC">
      <w:pPr>
        <w:pStyle w:val="NoSpacing"/>
        <w:numPr>
          <w:ilvl w:val="0"/>
          <w:numId w:val="8"/>
        </w:numPr>
      </w:pPr>
      <w:r>
        <w:t>Final</w:t>
      </w:r>
      <w:r w:rsidR="00656A01">
        <w:t xml:space="preserve"> Report</w:t>
      </w:r>
    </w:p>
    <w:p w14:paraId="26CC8B88" w14:textId="77777777" w:rsidR="004C5ABC" w:rsidRDefault="004C5ABC" w:rsidP="004C5ABC">
      <w:pPr>
        <w:pStyle w:val="NoSpacing"/>
        <w:numPr>
          <w:ilvl w:val="0"/>
          <w:numId w:val="8"/>
        </w:numPr>
      </w:pPr>
      <w:r>
        <w:t>Annual Progress</w:t>
      </w:r>
      <w:r w:rsidR="00656A01">
        <w:t xml:space="preserve"> Report</w:t>
      </w:r>
    </w:p>
    <w:p w14:paraId="10119575" w14:textId="77777777" w:rsidR="004C5ABC" w:rsidRDefault="004C5ABC" w:rsidP="004C5ABC">
      <w:pPr>
        <w:pStyle w:val="NoSpacing"/>
        <w:numPr>
          <w:ilvl w:val="0"/>
          <w:numId w:val="8"/>
        </w:numPr>
      </w:pPr>
      <w:r>
        <w:t>Interim Progress</w:t>
      </w:r>
      <w:r w:rsidR="00656A01">
        <w:t xml:space="preserve"> Report, if requested by FDA</w:t>
      </w:r>
    </w:p>
    <w:p w14:paraId="0D9F7410" w14:textId="77777777" w:rsidR="004C5ABC" w:rsidRDefault="00656A01" w:rsidP="00220FBA">
      <w:pPr>
        <w:pStyle w:val="NoSpacing"/>
        <w:numPr>
          <w:ilvl w:val="0"/>
          <w:numId w:val="8"/>
        </w:numPr>
      </w:pPr>
      <w:r>
        <w:t xml:space="preserve">Biannual </w:t>
      </w:r>
      <w:r w:rsidR="004C5ABC">
        <w:t>Investigator List</w:t>
      </w:r>
    </w:p>
    <w:p w14:paraId="39343306" w14:textId="77777777" w:rsidR="004C5ABC" w:rsidRDefault="004C5ABC" w:rsidP="00220FBA">
      <w:pPr>
        <w:pStyle w:val="NoSpacing"/>
        <w:numPr>
          <w:ilvl w:val="0"/>
          <w:numId w:val="8"/>
        </w:numPr>
      </w:pPr>
      <w:r>
        <w:t>Failure to Obtain Informed Consent</w:t>
      </w:r>
    </w:p>
    <w:p w14:paraId="22964346" w14:textId="77777777" w:rsidR="004C5ABC" w:rsidRDefault="004C5ABC" w:rsidP="00220FBA">
      <w:pPr>
        <w:pStyle w:val="NoSpacing"/>
        <w:numPr>
          <w:ilvl w:val="0"/>
          <w:numId w:val="8"/>
        </w:numPr>
      </w:pPr>
      <w:r>
        <w:t>Compassionate Use Follow-Up</w:t>
      </w:r>
    </w:p>
    <w:p w14:paraId="799FA2F4" w14:textId="77777777" w:rsidR="004C5ABC" w:rsidRDefault="004C5ABC" w:rsidP="00220FBA">
      <w:pPr>
        <w:pStyle w:val="NoSpacing"/>
        <w:numPr>
          <w:ilvl w:val="0"/>
          <w:numId w:val="8"/>
        </w:numPr>
      </w:pPr>
      <w:r>
        <w:t>Emergency Use</w:t>
      </w:r>
    </w:p>
    <w:p w14:paraId="7C3B5243" w14:textId="77777777" w:rsidR="004C5ABC" w:rsidRDefault="004C5ABC" w:rsidP="00220FBA">
      <w:pPr>
        <w:pStyle w:val="NoSpacing"/>
        <w:numPr>
          <w:ilvl w:val="0"/>
          <w:numId w:val="8"/>
        </w:numPr>
      </w:pPr>
      <w:r>
        <w:t>Live Case Follow-Up</w:t>
      </w:r>
    </w:p>
    <w:p w14:paraId="0ACFDCA3" w14:textId="77777777" w:rsidR="00656A01" w:rsidRDefault="00656A01" w:rsidP="00220FBA">
      <w:pPr>
        <w:pStyle w:val="NoSpacing"/>
        <w:numPr>
          <w:ilvl w:val="0"/>
          <w:numId w:val="8"/>
        </w:numPr>
      </w:pPr>
      <w:r>
        <w:t>Completion of enrollment</w:t>
      </w:r>
    </w:p>
    <w:p w14:paraId="63501C46" w14:textId="77777777" w:rsidR="00656A01" w:rsidRDefault="00656A01" w:rsidP="00220FBA">
      <w:pPr>
        <w:pStyle w:val="NoSpacing"/>
        <w:numPr>
          <w:ilvl w:val="0"/>
          <w:numId w:val="8"/>
        </w:numPr>
      </w:pPr>
      <w:r>
        <w:t>Completion of study (including all patient follow-up)</w:t>
      </w:r>
    </w:p>
    <w:p w14:paraId="13599913" w14:textId="77777777" w:rsidR="003E1B77" w:rsidRDefault="003E1B77" w:rsidP="00220FBA">
      <w:pPr>
        <w:pStyle w:val="NoSpacing"/>
        <w:numPr>
          <w:ilvl w:val="0"/>
          <w:numId w:val="8"/>
        </w:numPr>
      </w:pPr>
      <w:r>
        <w:t>Withdrawal of IRB approval</w:t>
      </w:r>
    </w:p>
    <w:p w14:paraId="6F523A1A" w14:textId="77777777" w:rsidR="00656A01" w:rsidRDefault="00656A01" w:rsidP="00E1667C">
      <w:pPr>
        <w:pStyle w:val="NoSpacing"/>
      </w:pPr>
    </w:p>
    <w:p w14:paraId="408BED3C" w14:textId="16A0787A" w:rsidR="00656A01" w:rsidRDefault="00656A01" w:rsidP="00E1667C">
      <w:pPr>
        <w:pStyle w:val="NoSpacing"/>
      </w:pPr>
      <w:r>
        <w:t xml:space="preserve">The timelines for </w:t>
      </w:r>
      <w:r w:rsidR="00307B45">
        <w:t xml:space="preserve">a sponsor or sponsor-investigator </w:t>
      </w:r>
      <w:r>
        <w:t>sending reports to the FDA</w:t>
      </w:r>
      <w:r w:rsidR="00FD04B5">
        <w:t xml:space="preserve">, </w:t>
      </w:r>
      <w:r w:rsidR="006B7FC4">
        <w:t>reviewing IRB(s)</w:t>
      </w:r>
      <w:r w:rsidR="00FD04B5">
        <w:t>, and/or</w:t>
      </w:r>
      <w:r w:rsidR="00C43738">
        <w:t xml:space="preserve"> participating</w:t>
      </w:r>
      <w:r w:rsidR="00FD04B5">
        <w:t xml:space="preserve"> investigators</w:t>
      </w:r>
      <w:r w:rsidR="006B7FC4">
        <w:t xml:space="preserve"> per 21 CFR 812</w:t>
      </w:r>
      <w:r>
        <w:t xml:space="preserve"> are </w:t>
      </w:r>
      <w:r w:rsidR="006B7FC4">
        <w:t xml:space="preserve">summarized </w:t>
      </w:r>
      <w:r>
        <w:t xml:space="preserve">in the table below. However, individual IRBs may have more stringent timelines. </w:t>
      </w:r>
      <w:r w:rsidRPr="00656A01">
        <w:t xml:space="preserve">You must follow your reviewing IRB’s policies as long as they are not in conflict with the FDA regulations. </w:t>
      </w:r>
      <w:r w:rsidR="004672B6" w:rsidRPr="004672B6">
        <w:t xml:space="preserve">Please refer to the Duke University Health System (DUHS) IRB </w:t>
      </w:r>
      <w:hyperlink r:id="rId8" w:history="1">
        <w:r w:rsidR="004672B6" w:rsidRPr="004672B6">
          <w:rPr>
            <w:rStyle w:val="Hyperlink"/>
          </w:rPr>
          <w:t>policy</w:t>
        </w:r>
      </w:hyperlink>
      <w:r w:rsidR="004672B6" w:rsidRPr="004672B6">
        <w:t xml:space="preserve"> for reporting </w:t>
      </w:r>
      <w:r w:rsidR="00D55B6C">
        <w:t>u</w:t>
      </w:r>
      <w:r w:rsidR="004672B6" w:rsidRPr="004672B6">
        <w:t xml:space="preserve">nanticipated </w:t>
      </w:r>
      <w:r w:rsidR="00D55B6C">
        <w:t>p</w:t>
      </w:r>
      <w:r w:rsidR="004672B6" w:rsidRPr="004672B6">
        <w:t xml:space="preserve">roblems </w:t>
      </w:r>
      <w:r w:rsidR="00D55B6C">
        <w:lastRenderedPageBreak/>
        <w:t>i</w:t>
      </w:r>
      <w:r w:rsidR="004672B6" w:rsidRPr="004672B6">
        <w:t xml:space="preserve">nvolving </w:t>
      </w:r>
      <w:r w:rsidR="00D55B6C">
        <w:t>r</w:t>
      </w:r>
      <w:r w:rsidR="004672B6" w:rsidRPr="004672B6">
        <w:t xml:space="preserve">isks to </w:t>
      </w:r>
      <w:r w:rsidR="00D55B6C">
        <w:t>s</w:t>
      </w:r>
      <w:r w:rsidR="004672B6" w:rsidRPr="004672B6">
        <w:t xml:space="preserve">ubjects or </w:t>
      </w:r>
      <w:r w:rsidR="00D55B6C">
        <w:t>o</w:t>
      </w:r>
      <w:r w:rsidR="004672B6" w:rsidRPr="004672B6">
        <w:t xml:space="preserve">thers. </w:t>
      </w:r>
      <w:r w:rsidRPr="00656A01">
        <w:t>Please keep in mind that if you are running a multi-center trial, timeline</w:t>
      </w:r>
      <w:r w:rsidR="004672B6">
        <w:t>s</w:t>
      </w:r>
      <w:r w:rsidRPr="00656A01">
        <w:t xml:space="preserve"> for reporting to other reviewing IRB’s should be followed as well.</w:t>
      </w:r>
      <w:r w:rsidR="00A0588A">
        <w:t xml:space="preserve"> </w:t>
      </w:r>
    </w:p>
    <w:p w14:paraId="5318DEF4" w14:textId="77777777" w:rsidR="00E1667C" w:rsidRDefault="00E1667C" w:rsidP="00E1667C">
      <w:pPr>
        <w:pStyle w:val="NoSpacing"/>
      </w:pPr>
    </w:p>
    <w:p w14:paraId="7C2E0D67" w14:textId="38DA06B2" w:rsidR="00E1667C" w:rsidRPr="003906D7" w:rsidRDefault="00923C7D" w:rsidP="003906D7">
      <w:pPr>
        <w:pStyle w:val="Caption"/>
      </w:pPr>
      <w:r w:rsidRPr="003906D7">
        <w:t xml:space="preserve">Table </w:t>
      </w:r>
      <w:fldSimple w:instr=" SEQ Table \* ARABIC ">
        <w:r w:rsidR="00642919">
          <w:rPr>
            <w:noProof/>
          </w:rPr>
          <w:t>1</w:t>
        </w:r>
      </w:fldSimple>
      <w:r w:rsidRPr="003906D7">
        <w:t xml:space="preserve">: </w:t>
      </w:r>
      <w:r w:rsidR="00FA229F">
        <w:t>Reporting Timelines</w:t>
      </w:r>
      <w:r w:rsidRPr="003906D7">
        <w:t xml:space="preserve"> to FDA</w:t>
      </w:r>
      <w:r w:rsidR="00FA229F">
        <w:t xml:space="preserve">, </w:t>
      </w:r>
      <w:r w:rsidRPr="003906D7">
        <w:t>IRBs</w:t>
      </w:r>
      <w:r w:rsidR="00FA229F">
        <w:t xml:space="preserve">, and/or </w:t>
      </w:r>
      <w:r w:rsidR="00C43738">
        <w:t xml:space="preserve">Participating </w:t>
      </w:r>
      <w:r w:rsidR="00FA229F">
        <w:t>Investigators</w:t>
      </w:r>
      <w:r w:rsidRPr="003906D7">
        <w:t xml:space="preserve"> per §812.150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2314"/>
        <w:gridCol w:w="1384"/>
        <w:gridCol w:w="1394"/>
        <w:gridCol w:w="1563"/>
      </w:tblGrid>
      <w:tr w:rsidR="00295099" w:rsidRPr="00656A01" w14:paraId="3DF52BE1" w14:textId="5B64D4AB" w:rsidTr="000B3DE6">
        <w:trPr>
          <w:trHeight w:val="463"/>
          <w:tblHeader/>
        </w:trPr>
        <w:tc>
          <w:tcPr>
            <w:tcW w:w="1988" w:type="dxa"/>
            <w:vAlign w:val="center"/>
          </w:tcPr>
          <w:p w14:paraId="0DC535A9" w14:textId="77777777" w:rsidR="00295099" w:rsidRPr="00656A01" w:rsidRDefault="00295099" w:rsidP="008B0FFD">
            <w:pPr>
              <w:pStyle w:val="NoSpacing"/>
              <w:rPr>
                <w:b/>
              </w:rPr>
            </w:pPr>
            <w:r w:rsidRPr="00656A01">
              <w:rPr>
                <w:b/>
              </w:rPr>
              <w:t>Type of report</w:t>
            </w:r>
          </w:p>
        </w:tc>
        <w:tc>
          <w:tcPr>
            <w:tcW w:w="2314" w:type="dxa"/>
            <w:vAlign w:val="center"/>
          </w:tcPr>
          <w:p w14:paraId="61A85701" w14:textId="7FE1A413" w:rsidR="00295099" w:rsidRPr="00656A01" w:rsidRDefault="00295099" w:rsidP="001933DF">
            <w:pPr>
              <w:pStyle w:val="NoSpacing"/>
              <w:rPr>
                <w:b/>
              </w:rPr>
            </w:pPr>
            <w:r w:rsidRPr="00656A01">
              <w:rPr>
                <w:b/>
              </w:rPr>
              <w:t xml:space="preserve">Timeline </w:t>
            </w:r>
          </w:p>
        </w:tc>
        <w:tc>
          <w:tcPr>
            <w:tcW w:w="1384" w:type="dxa"/>
            <w:vAlign w:val="center"/>
          </w:tcPr>
          <w:p w14:paraId="269FB9AE" w14:textId="6913A77D" w:rsidR="00295099" w:rsidRPr="00656A01" w:rsidRDefault="00A14C07" w:rsidP="00642919">
            <w:pPr>
              <w:pStyle w:val="NoSpacing"/>
              <w:jc w:val="center"/>
              <w:rPr>
                <w:b/>
              </w:rPr>
            </w:pPr>
            <w:r>
              <w:rPr>
                <w:b/>
              </w:rPr>
              <w:t>FDA</w:t>
            </w:r>
          </w:p>
        </w:tc>
        <w:tc>
          <w:tcPr>
            <w:tcW w:w="1394" w:type="dxa"/>
            <w:vAlign w:val="center"/>
          </w:tcPr>
          <w:p w14:paraId="4EED943D" w14:textId="69AE82D6" w:rsidR="00295099" w:rsidRPr="00656A01" w:rsidRDefault="00A14C07" w:rsidP="00642919">
            <w:pPr>
              <w:pStyle w:val="NoSpacing"/>
              <w:jc w:val="center"/>
              <w:rPr>
                <w:b/>
              </w:rPr>
            </w:pPr>
            <w:r>
              <w:rPr>
                <w:b/>
              </w:rPr>
              <w:t>IRB(s)</w:t>
            </w:r>
          </w:p>
        </w:tc>
        <w:tc>
          <w:tcPr>
            <w:tcW w:w="1563" w:type="dxa"/>
            <w:vAlign w:val="center"/>
          </w:tcPr>
          <w:p w14:paraId="6F4A0D77" w14:textId="4A6B9A90" w:rsidR="00C43738" w:rsidRDefault="00C43738" w:rsidP="00642919">
            <w:pPr>
              <w:pStyle w:val="NoSpacing"/>
              <w:jc w:val="center"/>
              <w:rPr>
                <w:b/>
              </w:rPr>
            </w:pPr>
            <w:r>
              <w:rPr>
                <w:b/>
              </w:rPr>
              <w:t>Participating</w:t>
            </w:r>
          </w:p>
          <w:p w14:paraId="463F8800" w14:textId="1B5A3904" w:rsidR="00295099" w:rsidRPr="00656A01" w:rsidRDefault="00A14C07" w:rsidP="00642919">
            <w:pPr>
              <w:pStyle w:val="NoSpacing"/>
              <w:jc w:val="center"/>
              <w:rPr>
                <w:b/>
              </w:rPr>
            </w:pPr>
            <w:r>
              <w:rPr>
                <w:b/>
              </w:rPr>
              <w:t>Investigators</w:t>
            </w:r>
          </w:p>
        </w:tc>
      </w:tr>
      <w:tr w:rsidR="00295099" w:rsidRPr="00656A01" w14:paraId="2B9540DB" w14:textId="0E5146B6" w:rsidTr="000B3DE6">
        <w:trPr>
          <w:trHeight w:val="463"/>
        </w:trPr>
        <w:tc>
          <w:tcPr>
            <w:tcW w:w="1988" w:type="dxa"/>
            <w:vAlign w:val="center"/>
          </w:tcPr>
          <w:p w14:paraId="01A123EB" w14:textId="0FDA9F4B" w:rsidR="00295099" w:rsidRPr="00B75006" w:rsidRDefault="00295099" w:rsidP="00C30CFD">
            <w:pPr>
              <w:pStyle w:val="NoSpacing"/>
              <w:spacing w:after="60"/>
            </w:pPr>
            <w:r w:rsidRPr="00B75006">
              <w:t xml:space="preserve">Unanticipated Adverse Device Effects </w:t>
            </w:r>
          </w:p>
        </w:tc>
        <w:tc>
          <w:tcPr>
            <w:tcW w:w="2314" w:type="dxa"/>
            <w:vAlign w:val="center"/>
          </w:tcPr>
          <w:p w14:paraId="1DEBA54C" w14:textId="0E1F6935" w:rsidR="00295099" w:rsidRPr="00656A01" w:rsidRDefault="00295099" w:rsidP="006E3254">
            <w:pPr>
              <w:pStyle w:val="NoSpacing"/>
              <w:spacing w:after="60"/>
            </w:pPr>
            <w:r w:rsidRPr="00656A01">
              <w:t>10 working days</w:t>
            </w:r>
            <w:r>
              <w:t xml:space="preserve"> from sponsor becoming aware of the e</w:t>
            </w:r>
            <w:r w:rsidR="00C43738">
              <w:t>ffect</w:t>
            </w:r>
          </w:p>
        </w:tc>
        <w:tc>
          <w:tcPr>
            <w:tcW w:w="1384" w:type="dxa"/>
            <w:vAlign w:val="center"/>
          </w:tcPr>
          <w:p w14:paraId="00143B50" w14:textId="044E923A" w:rsidR="00295099" w:rsidRPr="00656A01" w:rsidRDefault="00A14C07" w:rsidP="00642919">
            <w:pPr>
              <w:pStyle w:val="NoSpacing"/>
              <w:spacing w:after="60"/>
              <w:jc w:val="center"/>
            </w:pPr>
            <w:r>
              <w:t>X</w:t>
            </w:r>
          </w:p>
        </w:tc>
        <w:tc>
          <w:tcPr>
            <w:tcW w:w="1394" w:type="dxa"/>
            <w:vAlign w:val="center"/>
          </w:tcPr>
          <w:p w14:paraId="7FC7D476" w14:textId="44B4F462" w:rsidR="00295099" w:rsidRPr="00656A01" w:rsidRDefault="00A14C07" w:rsidP="00642919">
            <w:pPr>
              <w:pStyle w:val="NoSpacing"/>
              <w:spacing w:after="60"/>
              <w:jc w:val="center"/>
            </w:pPr>
            <w:r>
              <w:t>X</w:t>
            </w:r>
          </w:p>
        </w:tc>
        <w:tc>
          <w:tcPr>
            <w:tcW w:w="1563" w:type="dxa"/>
            <w:vAlign w:val="center"/>
          </w:tcPr>
          <w:p w14:paraId="5F127E5F" w14:textId="7B72B68D" w:rsidR="00295099" w:rsidRPr="00656A01" w:rsidRDefault="00A14C07" w:rsidP="00642919">
            <w:pPr>
              <w:pStyle w:val="NoSpacing"/>
              <w:spacing w:after="60"/>
              <w:jc w:val="center"/>
            </w:pPr>
            <w:r>
              <w:t>X</w:t>
            </w:r>
          </w:p>
        </w:tc>
      </w:tr>
      <w:tr w:rsidR="00295099" w:rsidRPr="00656A01" w14:paraId="35778CAB" w14:textId="6386DC93" w:rsidTr="000B3DE6">
        <w:trPr>
          <w:trHeight w:val="463"/>
        </w:trPr>
        <w:tc>
          <w:tcPr>
            <w:tcW w:w="1988" w:type="dxa"/>
            <w:vAlign w:val="center"/>
          </w:tcPr>
          <w:p w14:paraId="17E5E28F" w14:textId="43078951" w:rsidR="00295099" w:rsidRPr="00B75006" w:rsidRDefault="00295099" w:rsidP="003906D7">
            <w:pPr>
              <w:pStyle w:val="NoSpacing"/>
              <w:spacing w:after="60"/>
            </w:pPr>
            <w:r w:rsidRPr="00B75006">
              <w:t>Withdrawal of IRB approval</w:t>
            </w:r>
          </w:p>
        </w:tc>
        <w:tc>
          <w:tcPr>
            <w:tcW w:w="2314" w:type="dxa"/>
            <w:vAlign w:val="center"/>
          </w:tcPr>
          <w:p w14:paraId="693148FC" w14:textId="6B4F0EC6" w:rsidR="00295099" w:rsidRPr="00656A01" w:rsidRDefault="00295099" w:rsidP="006B7FC4">
            <w:pPr>
              <w:pStyle w:val="NoSpacing"/>
              <w:spacing w:after="60"/>
            </w:pPr>
            <w:r w:rsidRPr="00656A01">
              <w:t>5 working days</w:t>
            </w:r>
            <w:r>
              <w:t xml:space="preserve"> from sponsor being notified</w:t>
            </w:r>
          </w:p>
        </w:tc>
        <w:tc>
          <w:tcPr>
            <w:tcW w:w="1384" w:type="dxa"/>
            <w:vAlign w:val="center"/>
          </w:tcPr>
          <w:p w14:paraId="1F467E5B" w14:textId="7FF7E84A" w:rsidR="00295099" w:rsidRPr="00656A01" w:rsidRDefault="00A14C07" w:rsidP="00642919">
            <w:pPr>
              <w:pStyle w:val="NoSpacing"/>
              <w:spacing w:after="60"/>
              <w:jc w:val="center"/>
            </w:pPr>
            <w:r>
              <w:t>X</w:t>
            </w:r>
          </w:p>
        </w:tc>
        <w:tc>
          <w:tcPr>
            <w:tcW w:w="1394" w:type="dxa"/>
            <w:vAlign w:val="center"/>
          </w:tcPr>
          <w:p w14:paraId="0C47B7E4" w14:textId="6C1470F7" w:rsidR="00295099" w:rsidRPr="00656A01" w:rsidRDefault="00A14C07" w:rsidP="00642919">
            <w:pPr>
              <w:pStyle w:val="NoSpacing"/>
              <w:spacing w:after="60"/>
              <w:jc w:val="center"/>
            </w:pPr>
            <w:r>
              <w:t>X</w:t>
            </w:r>
          </w:p>
        </w:tc>
        <w:tc>
          <w:tcPr>
            <w:tcW w:w="1563" w:type="dxa"/>
            <w:vAlign w:val="center"/>
          </w:tcPr>
          <w:p w14:paraId="47C8D9FB" w14:textId="4573959E" w:rsidR="00295099" w:rsidRPr="00656A01" w:rsidRDefault="00A14C07" w:rsidP="00642919">
            <w:pPr>
              <w:pStyle w:val="NoSpacing"/>
              <w:spacing w:after="60"/>
              <w:jc w:val="center"/>
            </w:pPr>
            <w:r>
              <w:t>X</w:t>
            </w:r>
          </w:p>
        </w:tc>
      </w:tr>
      <w:tr w:rsidR="00295099" w:rsidRPr="00656A01" w14:paraId="6F674476" w14:textId="7F5F3F35" w:rsidTr="000B3DE6">
        <w:trPr>
          <w:trHeight w:val="463"/>
        </w:trPr>
        <w:tc>
          <w:tcPr>
            <w:tcW w:w="1988" w:type="dxa"/>
            <w:vAlign w:val="center"/>
          </w:tcPr>
          <w:p w14:paraId="52D7145F" w14:textId="6813C24B" w:rsidR="00295099" w:rsidRPr="00B75006" w:rsidRDefault="00295099" w:rsidP="003906D7">
            <w:pPr>
              <w:pStyle w:val="NoSpacing"/>
              <w:spacing w:after="60"/>
            </w:pPr>
            <w:r w:rsidRPr="00B75006">
              <w:t>Withdrawal of FDA approval</w:t>
            </w:r>
          </w:p>
        </w:tc>
        <w:tc>
          <w:tcPr>
            <w:tcW w:w="2314" w:type="dxa"/>
            <w:vAlign w:val="center"/>
          </w:tcPr>
          <w:p w14:paraId="20356092" w14:textId="6613DCC2" w:rsidR="00295099" w:rsidRPr="00656A01" w:rsidRDefault="00295099" w:rsidP="00A14C07">
            <w:pPr>
              <w:pStyle w:val="NoSpacing"/>
              <w:spacing w:after="60"/>
            </w:pPr>
            <w:r>
              <w:t xml:space="preserve">5 working days from sponsor being notified </w:t>
            </w:r>
          </w:p>
        </w:tc>
        <w:tc>
          <w:tcPr>
            <w:tcW w:w="1384" w:type="dxa"/>
            <w:vAlign w:val="center"/>
          </w:tcPr>
          <w:p w14:paraId="79201691" w14:textId="77777777" w:rsidR="00295099" w:rsidRDefault="00295099" w:rsidP="00642919">
            <w:pPr>
              <w:pStyle w:val="NoSpacing"/>
              <w:spacing w:after="60"/>
              <w:jc w:val="center"/>
            </w:pPr>
          </w:p>
        </w:tc>
        <w:tc>
          <w:tcPr>
            <w:tcW w:w="1394" w:type="dxa"/>
            <w:vAlign w:val="center"/>
          </w:tcPr>
          <w:p w14:paraId="0FD03343" w14:textId="59513A92" w:rsidR="00295099" w:rsidRDefault="00A14C07" w:rsidP="00642919">
            <w:pPr>
              <w:pStyle w:val="NoSpacing"/>
              <w:spacing w:after="60"/>
              <w:jc w:val="center"/>
            </w:pPr>
            <w:r>
              <w:t>X</w:t>
            </w:r>
          </w:p>
        </w:tc>
        <w:tc>
          <w:tcPr>
            <w:tcW w:w="1563" w:type="dxa"/>
            <w:vAlign w:val="center"/>
          </w:tcPr>
          <w:p w14:paraId="0408C9F8" w14:textId="169951EA" w:rsidR="00295099" w:rsidRDefault="00A14C07" w:rsidP="00642919">
            <w:pPr>
              <w:pStyle w:val="NoSpacing"/>
              <w:spacing w:after="60"/>
              <w:jc w:val="center"/>
            </w:pPr>
            <w:r>
              <w:t>X</w:t>
            </w:r>
          </w:p>
        </w:tc>
      </w:tr>
      <w:tr w:rsidR="00295099" w:rsidRPr="00656A01" w14:paraId="333741D9" w14:textId="6038F05B" w:rsidTr="000B3DE6">
        <w:trPr>
          <w:trHeight w:val="463"/>
        </w:trPr>
        <w:tc>
          <w:tcPr>
            <w:tcW w:w="1988" w:type="dxa"/>
            <w:vAlign w:val="center"/>
          </w:tcPr>
          <w:p w14:paraId="465C416E" w14:textId="77777777" w:rsidR="00295099" w:rsidRPr="00B75006" w:rsidRDefault="00295099" w:rsidP="003906D7">
            <w:pPr>
              <w:pStyle w:val="NoSpacing"/>
              <w:spacing w:after="60"/>
            </w:pPr>
            <w:r w:rsidRPr="00B75006">
              <w:t>Current Investigators list</w:t>
            </w:r>
          </w:p>
        </w:tc>
        <w:tc>
          <w:tcPr>
            <w:tcW w:w="2314" w:type="dxa"/>
            <w:vAlign w:val="center"/>
          </w:tcPr>
          <w:p w14:paraId="5C46F379" w14:textId="2308FBC2" w:rsidR="00295099" w:rsidRPr="00656A01" w:rsidRDefault="00295099" w:rsidP="00A14C07">
            <w:pPr>
              <w:pStyle w:val="NoSpacing"/>
              <w:spacing w:after="60"/>
            </w:pPr>
            <w:r w:rsidRPr="00656A01">
              <w:t>Every 6 months</w:t>
            </w:r>
            <w:r>
              <w:t xml:space="preserve"> </w:t>
            </w:r>
          </w:p>
        </w:tc>
        <w:tc>
          <w:tcPr>
            <w:tcW w:w="1384" w:type="dxa"/>
            <w:vAlign w:val="center"/>
          </w:tcPr>
          <w:p w14:paraId="50C0B98A" w14:textId="56F8CE77" w:rsidR="00295099" w:rsidRPr="00656A01" w:rsidRDefault="00A14C07" w:rsidP="00642919">
            <w:pPr>
              <w:pStyle w:val="NoSpacing"/>
              <w:spacing w:after="60"/>
              <w:jc w:val="center"/>
            </w:pPr>
            <w:r>
              <w:t>X</w:t>
            </w:r>
          </w:p>
        </w:tc>
        <w:tc>
          <w:tcPr>
            <w:tcW w:w="1394" w:type="dxa"/>
            <w:vAlign w:val="center"/>
          </w:tcPr>
          <w:p w14:paraId="7EE10000" w14:textId="77777777" w:rsidR="00295099" w:rsidRPr="00656A01" w:rsidRDefault="00295099" w:rsidP="00642919">
            <w:pPr>
              <w:pStyle w:val="NoSpacing"/>
              <w:spacing w:after="60"/>
              <w:jc w:val="center"/>
            </w:pPr>
          </w:p>
        </w:tc>
        <w:tc>
          <w:tcPr>
            <w:tcW w:w="1563" w:type="dxa"/>
            <w:vAlign w:val="center"/>
          </w:tcPr>
          <w:p w14:paraId="0369B4EB" w14:textId="77777777" w:rsidR="00295099" w:rsidRPr="00656A01" w:rsidRDefault="00295099" w:rsidP="00642919">
            <w:pPr>
              <w:pStyle w:val="NoSpacing"/>
              <w:spacing w:after="60"/>
              <w:jc w:val="center"/>
            </w:pPr>
          </w:p>
        </w:tc>
      </w:tr>
      <w:tr w:rsidR="00295099" w:rsidRPr="00656A01" w14:paraId="28430FA8" w14:textId="094E5764" w:rsidTr="000B3DE6">
        <w:trPr>
          <w:trHeight w:val="464"/>
        </w:trPr>
        <w:tc>
          <w:tcPr>
            <w:tcW w:w="1988" w:type="dxa"/>
            <w:vAlign w:val="center"/>
          </w:tcPr>
          <w:p w14:paraId="69E5F36D" w14:textId="77777777" w:rsidR="00295099" w:rsidRPr="00B75006" w:rsidRDefault="00295099" w:rsidP="003906D7">
            <w:pPr>
              <w:pStyle w:val="NoSpacing"/>
              <w:spacing w:after="60"/>
            </w:pPr>
            <w:r w:rsidRPr="00B75006">
              <w:t>Progress report</w:t>
            </w:r>
          </w:p>
        </w:tc>
        <w:tc>
          <w:tcPr>
            <w:tcW w:w="2314" w:type="dxa"/>
            <w:vAlign w:val="center"/>
          </w:tcPr>
          <w:p w14:paraId="35B89562" w14:textId="1D1BED18" w:rsidR="00295099" w:rsidRPr="00656A01" w:rsidRDefault="00295099" w:rsidP="001933DF">
            <w:pPr>
              <w:pStyle w:val="NoSpacing"/>
              <w:spacing w:after="60"/>
            </w:pPr>
            <w:r w:rsidRPr="00656A01">
              <w:t xml:space="preserve">At least </w:t>
            </w:r>
            <w:r w:rsidR="00074DBA">
              <w:t>annually</w:t>
            </w:r>
          </w:p>
        </w:tc>
        <w:tc>
          <w:tcPr>
            <w:tcW w:w="1384" w:type="dxa"/>
            <w:vAlign w:val="center"/>
          </w:tcPr>
          <w:p w14:paraId="282DC42C" w14:textId="0EA9C8E8" w:rsidR="00295099" w:rsidRPr="00656A01" w:rsidRDefault="00A14C07" w:rsidP="00642919">
            <w:pPr>
              <w:pStyle w:val="NoSpacing"/>
              <w:spacing w:after="60"/>
              <w:jc w:val="center"/>
            </w:pPr>
            <w:r>
              <w:t>X</w:t>
            </w:r>
          </w:p>
        </w:tc>
        <w:tc>
          <w:tcPr>
            <w:tcW w:w="1394" w:type="dxa"/>
            <w:vAlign w:val="center"/>
          </w:tcPr>
          <w:p w14:paraId="184B7E81" w14:textId="5D365A56" w:rsidR="00295099" w:rsidRPr="00656A01" w:rsidRDefault="00A14C07" w:rsidP="00642919">
            <w:pPr>
              <w:pStyle w:val="NoSpacing"/>
              <w:spacing w:after="60"/>
              <w:jc w:val="center"/>
            </w:pPr>
            <w:r>
              <w:t>X</w:t>
            </w:r>
          </w:p>
        </w:tc>
        <w:tc>
          <w:tcPr>
            <w:tcW w:w="1563" w:type="dxa"/>
            <w:vAlign w:val="center"/>
          </w:tcPr>
          <w:p w14:paraId="1D7B5DC3" w14:textId="77777777" w:rsidR="00295099" w:rsidRPr="00656A01" w:rsidRDefault="00295099" w:rsidP="00642919">
            <w:pPr>
              <w:pStyle w:val="NoSpacing"/>
              <w:spacing w:after="60"/>
              <w:jc w:val="center"/>
            </w:pPr>
          </w:p>
        </w:tc>
      </w:tr>
      <w:tr w:rsidR="00295099" w:rsidRPr="00656A01" w14:paraId="23BB990D" w14:textId="20C8D1CA" w:rsidTr="000B3DE6">
        <w:trPr>
          <w:trHeight w:val="463"/>
        </w:trPr>
        <w:tc>
          <w:tcPr>
            <w:tcW w:w="1988" w:type="dxa"/>
            <w:tcBorders>
              <w:bottom w:val="single" w:sz="4" w:space="0" w:color="auto"/>
            </w:tcBorders>
            <w:vAlign w:val="center"/>
          </w:tcPr>
          <w:p w14:paraId="2FBC6F88" w14:textId="77777777" w:rsidR="00295099" w:rsidRPr="00B75006" w:rsidRDefault="00295099" w:rsidP="003906D7">
            <w:pPr>
              <w:pStyle w:val="NoSpacing"/>
              <w:spacing w:after="60"/>
            </w:pPr>
            <w:r w:rsidRPr="00B75006">
              <w:t>Recall and device disposition</w:t>
            </w:r>
          </w:p>
        </w:tc>
        <w:tc>
          <w:tcPr>
            <w:tcW w:w="2314" w:type="dxa"/>
            <w:tcBorders>
              <w:bottom w:val="single" w:sz="4" w:space="0" w:color="auto"/>
            </w:tcBorders>
            <w:vAlign w:val="center"/>
          </w:tcPr>
          <w:p w14:paraId="6B0F8387" w14:textId="25970EA9" w:rsidR="00295099" w:rsidRPr="00656A01" w:rsidRDefault="00295099" w:rsidP="003906D7">
            <w:pPr>
              <w:pStyle w:val="NoSpacing"/>
              <w:spacing w:after="60"/>
            </w:pPr>
            <w:r w:rsidRPr="00656A01">
              <w:t>30 working days</w:t>
            </w:r>
            <w:r>
              <w:t xml:space="preserve"> after the request is made</w:t>
            </w:r>
          </w:p>
        </w:tc>
        <w:tc>
          <w:tcPr>
            <w:tcW w:w="1384" w:type="dxa"/>
            <w:tcBorders>
              <w:bottom w:val="single" w:sz="4" w:space="0" w:color="auto"/>
            </w:tcBorders>
            <w:vAlign w:val="center"/>
          </w:tcPr>
          <w:p w14:paraId="64049413" w14:textId="66C3FBFB" w:rsidR="00295099" w:rsidRPr="00656A01" w:rsidRDefault="00A14C07" w:rsidP="00642919">
            <w:pPr>
              <w:pStyle w:val="NoSpacing"/>
              <w:spacing w:after="60"/>
              <w:jc w:val="center"/>
            </w:pPr>
            <w:r>
              <w:t>X</w:t>
            </w:r>
          </w:p>
        </w:tc>
        <w:tc>
          <w:tcPr>
            <w:tcW w:w="1394" w:type="dxa"/>
            <w:tcBorders>
              <w:bottom w:val="single" w:sz="4" w:space="0" w:color="auto"/>
            </w:tcBorders>
            <w:vAlign w:val="center"/>
          </w:tcPr>
          <w:p w14:paraId="0BAB2994" w14:textId="3909BE40" w:rsidR="00295099" w:rsidRPr="00656A01" w:rsidRDefault="00A14C07" w:rsidP="00642919">
            <w:pPr>
              <w:pStyle w:val="NoSpacing"/>
              <w:spacing w:after="60"/>
              <w:jc w:val="center"/>
            </w:pPr>
            <w:r>
              <w:t>X</w:t>
            </w:r>
          </w:p>
        </w:tc>
        <w:tc>
          <w:tcPr>
            <w:tcW w:w="1563" w:type="dxa"/>
            <w:tcBorders>
              <w:bottom w:val="single" w:sz="4" w:space="0" w:color="auto"/>
            </w:tcBorders>
            <w:vAlign w:val="center"/>
          </w:tcPr>
          <w:p w14:paraId="532504F4" w14:textId="77777777" w:rsidR="00295099" w:rsidRPr="00656A01" w:rsidRDefault="00295099" w:rsidP="00642919">
            <w:pPr>
              <w:pStyle w:val="NoSpacing"/>
              <w:spacing w:after="60"/>
              <w:jc w:val="center"/>
            </w:pPr>
          </w:p>
        </w:tc>
      </w:tr>
      <w:tr w:rsidR="00295099" w:rsidRPr="00656A01" w14:paraId="24B27D8D" w14:textId="4E3BE4EC" w:rsidTr="000B3DE6">
        <w:trPr>
          <w:trHeight w:val="463"/>
        </w:trPr>
        <w:tc>
          <w:tcPr>
            <w:tcW w:w="1988" w:type="dxa"/>
            <w:tcBorders>
              <w:bottom w:val="single" w:sz="4" w:space="0" w:color="auto"/>
            </w:tcBorders>
            <w:vAlign w:val="center"/>
          </w:tcPr>
          <w:p w14:paraId="6EEB4DB4" w14:textId="56772DE9" w:rsidR="00295099" w:rsidRPr="00B75006" w:rsidRDefault="00295099" w:rsidP="009E16C4">
            <w:pPr>
              <w:pStyle w:val="NoSpacing"/>
              <w:spacing w:after="60"/>
            </w:pPr>
            <w:r w:rsidRPr="00B75006">
              <w:t>Deviation from the investigational plan</w:t>
            </w:r>
            <w:r w:rsidRPr="00B75006">
              <w:rPr>
                <w:rStyle w:val="FootnoteReference"/>
              </w:rPr>
              <w:footnoteReference w:id="1"/>
            </w:r>
          </w:p>
        </w:tc>
        <w:tc>
          <w:tcPr>
            <w:tcW w:w="2314" w:type="dxa"/>
            <w:tcBorders>
              <w:bottom w:val="single" w:sz="4" w:space="0" w:color="auto"/>
            </w:tcBorders>
            <w:vAlign w:val="center"/>
          </w:tcPr>
          <w:p w14:paraId="0AA47BBF" w14:textId="53636D5C" w:rsidR="00295099" w:rsidRDefault="00295099" w:rsidP="00075457">
            <w:pPr>
              <w:pStyle w:val="NoSpacing"/>
              <w:spacing w:after="120"/>
            </w:pPr>
            <w:r>
              <w:t xml:space="preserve">Within </w:t>
            </w:r>
            <w:r w:rsidRPr="00656A01">
              <w:t>5 working days</w:t>
            </w:r>
            <w:r>
              <w:t xml:space="preserve"> of the event </w:t>
            </w:r>
          </w:p>
          <w:p w14:paraId="5410E541" w14:textId="286752BE" w:rsidR="00295099" w:rsidRPr="00656A01" w:rsidRDefault="00295099" w:rsidP="00882E51">
            <w:pPr>
              <w:pStyle w:val="NoSpacing"/>
              <w:spacing w:after="60"/>
            </w:pPr>
          </w:p>
        </w:tc>
        <w:tc>
          <w:tcPr>
            <w:tcW w:w="1384" w:type="dxa"/>
            <w:tcBorders>
              <w:bottom w:val="single" w:sz="4" w:space="0" w:color="auto"/>
            </w:tcBorders>
            <w:vAlign w:val="center"/>
          </w:tcPr>
          <w:p w14:paraId="1C66C331" w14:textId="3F55083E" w:rsidR="00295099" w:rsidRDefault="00295099" w:rsidP="00642919">
            <w:pPr>
              <w:pStyle w:val="NoSpacing"/>
              <w:spacing w:after="120"/>
              <w:jc w:val="center"/>
            </w:pPr>
          </w:p>
        </w:tc>
        <w:tc>
          <w:tcPr>
            <w:tcW w:w="1394" w:type="dxa"/>
            <w:tcBorders>
              <w:bottom w:val="single" w:sz="4" w:space="0" w:color="auto"/>
            </w:tcBorders>
            <w:vAlign w:val="center"/>
          </w:tcPr>
          <w:p w14:paraId="41DE698D" w14:textId="036449BC" w:rsidR="00295099" w:rsidRDefault="00A14C07" w:rsidP="00642919">
            <w:pPr>
              <w:pStyle w:val="NoSpacing"/>
              <w:spacing w:after="120"/>
              <w:jc w:val="center"/>
            </w:pPr>
            <w:r>
              <w:t>X</w:t>
            </w:r>
          </w:p>
        </w:tc>
        <w:tc>
          <w:tcPr>
            <w:tcW w:w="1563" w:type="dxa"/>
            <w:tcBorders>
              <w:bottom w:val="single" w:sz="4" w:space="0" w:color="auto"/>
            </w:tcBorders>
            <w:vAlign w:val="center"/>
          </w:tcPr>
          <w:p w14:paraId="6ACA1B3B" w14:textId="77777777" w:rsidR="00295099" w:rsidRDefault="00295099" w:rsidP="00642919">
            <w:pPr>
              <w:pStyle w:val="NoSpacing"/>
              <w:spacing w:after="120"/>
              <w:jc w:val="center"/>
            </w:pPr>
          </w:p>
        </w:tc>
      </w:tr>
      <w:tr w:rsidR="00074DBA" w:rsidRPr="00656A01" w14:paraId="394C1B55" w14:textId="66839D0B" w:rsidTr="000B3DE6">
        <w:trPr>
          <w:cantSplit/>
          <w:trHeight w:val="463"/>
        </w:trPr>
        <w:tc>
          <w:tcPr>
            <w:tcW w:w="1988" w:type="dxa"/>
            <w:vMerge w:val="restart"/>
            <w:tcBorders>
              <w:top w:val="single" w:sz="4" w:space="0" w:color="auto"/>
            </w:tcBorders>
            <w:vAlign w:val="center"/>
          </w:tcPr>
          <w:p w14:paraId="6E875E5D" w14:textId="1EDE0137" w:rsidR="00074DBA" w:rsidRPr="00B75006" w:rsidRDefault="008A3E80" w:rsidP="009E16C4">
            <w:pPr>
              <w:pStyle w:val="NoSpacing"/>
              <w:spacing w:after="60"/>
            </w:pPr>
            <w:r w:rsidRPr="00B75006">
              <w:t>Failure to Obtain Informed Consent</w:t>
            </w:r>
            <w:r w:rsidR="00074DBA" w:rsidRPr="00B75006">
              <w:rPr>
                <w:rStyle w:val="FootnoteReference"/>
              </w:rPr>
              <w:footnoteReference w:id="2"/>
            </w:r>
          </w:p>
        </w:tc>
        <w:tc>
          <w:tcPr>
            <w:tcW w:w="2314" w:type="dxa"/>
            <w:tcBorders>
              <w:top w:val="single" w:sz="4" w:space="0" w:color="auto"/>
            </w:tcBorders>
            <w:vAlign w:val="center"/>
          </w:tcPr>
          <w:p w14:paraId="5A3C1550" w14:textId="0C25A090" w:rsidR="00074DBA" w:rsidRPr="00656A01" w:rsidRDefault="00074DBA" w:rsidP="00642919">
            <w:pPr>
              <w:pStyle w:val="NoSpacing"/>
              <w:keepNext/>
              <w:keepLines/>
              <w:spacing w:after="120"/>
            </w:pPr>
            <w:r>
              <w:t xml:space="preserve">Within </w:t>
            </w:r>
            <w:r w:rsidRPr="00656A01">
              <w:t>5 working days</w:t>
            </w:r>
            <w:r>
              <w:t xml:space="preserve"> of the</w:t>
            </w:r>
            <w:r w:rsidR="0005685B">
              <w:t xml:space="preserve"> occurrence</w:t>
            </w:r>
            <w:r>
              <w:t xml:space="preserve"> </w:t>
            </w:r>
          </w:p>
        </w:tc>
        <w:tc>
          <w:tcPr>
            <w:tcW w:w="1384" w:type="dxa"/>
            <w:tcBorders>
              <w:top w:val="single" w:sz="4" w:space="0" w:color="auto"/>
            </w:tcBorders>
            <w:vAlign w:val="center"/>
          </w:tcPr>
          <w:p w14:paraId="1775D81E" w14:textId="14C4364C" w:rsidR="00074DBA" w:rsidRDefault="00074DBA" w:rsidP="00642919">
            <w:pPr>
              <w:pStyle w:val="NoSpacing"/>
              <w:spacing w:after="120"/>
              <w:jc w:val="center"/>
            </w:pPr>
          </w:p>
        </w:tc>
        <w:tc>
          <w:tcPr>
            <w:tcW w:w="1394" w:type="dxa"/>
            <w:tcBorders>
              <w:top w:val="single" w:sz="4" w:space="0" w:color="auto"/>
            </w:tcBorders>
            <w:vAlign w:val="center"/>
          </w:tcPr>
          <w:p w14:paraId="40A71BD3" w14:textId="0AAFBBBF" w:rsidR="00074DBA" w:rsidRDefault="00074DBA" w:rsidP="00642919">
            <w:pPr>
              <w:pStyle w:val="NoSpacing"/>
              <w:spacing w:after="120"/>
              <w:jc w:val="center"/>
            </w:pPr>
            <w:r>
              <w:t>X</w:t>
            </w:r>
          </w:p>
        </w:tc>
        <w:tc>
          <w:tcPr>
            <w:tcW w:w="1563" w:type="dxa"/>
            <w:tcBorders>
              <w:top w:val="single" w:sz="4" w:space="0" w:color="auto"/>
            </w:tcBorders>
            <w:vAlign w:val="center"/>
          </w:tcPr>
          <w:p w14:paraId="622C9D83" w14:textId="77777777" w:rsidR="00074DBA" w:rsidRDefault="00074DBA" w:rsidP="00642919">
            <w:pPr>
              <w:pStyle w:val="NoSpacing"/>
              <w:spacing w:after="120"/>
              <w:jc w:val="center"/>
            </w:pPr>
          </w:p>
        </w:tc>
      </w:tr>
      <w:tr w:rsidR="00074DBA" w:rsidRPr="00656A01" w14:paraId="214825A9" w14:textId="77777777" w:rsidTr="000B3DE6">
        <w:trPr>
          <w:cantSplit/>
          <w:trHeight w:val="463"/>
        </w:trPr>
        <w:tc>
          <w:tcPr>
            <w:tcW w:w="1988" w:type="dxa"/>
            <w:vMerge/>
            <w:vAlign w:val="center"/>
          </w:tcPr>
          <w:p w14:paraId="00F96B2C" w14:textId="77777777" w:rsidR="00074DBA" w:rsidRPr="00B75006" w:rsidRDefault="00074DBA" w:rsidP="009E16C4">
            <w:pPr>
              <w:pStyle w:val="NoSpacing"/>
              <w:spacing w:after="60"/>
            </w:pPr>
          </w:p>
        </w:tc>
        <w:tc>
          <w:tcPr>
            <w:tcW w:w="2314" w:type="dxa"/>
            <w:vAlign w:val="center"/>
          </w:tcPr>
          <w:p w14:paraId="7B911B8C" w14:textId="7507FCC6" w:rsidR="00074DBA" w:rsidRDefault="00074DBA" w:rsidP="00642919">
            <w:pPr>
              <w:pStyle w:val="NoSpacing"/>
              <w:keepNext/>
              <w:keepLines/>
              <w:spacing w:after="120"/>
            </w:pPr>
            <w:r>
              <w:t xml:space="preserve">Within 5 working days from sponsor being notified of the </w:t>
            </w:r>
            <w:r w:rsidR="0005685B">
              <w:t>occurrence</w:t>
            </w:r>
          </w:p>
        </w:tc>
        <w:tc>
          <w:tcPr>
            <w:tcW w:w="1384" w:type="dxa"/>
            <w:vAlign w:val="center"/>
          </w:tcPr>
          <w:p w14:paraId="08DABC48" w14:textId="2F2BE7EE" w:rsidR="00074DBA" w:rsidRDefault="00074DBA" w:rsidP="00642919">
            <w:pPr>
              <w:pStyle w:val="NoSpacing"/>
              <w:spacing w:after="120"/>
              <w:jc w:val="center"/>
            </w:pPr>
            <w:r>
              <w:t>X</w:t>
            </w:r>
          </w:p>
        </w:tc>
        <w:tc>
          <w:tcPr>
            <w:tcW w:w="1394" w:type="dxa"/>
            <w:vAlign w:val="center"/>
          </w:tcPr>
          <w:p w14:paraId="4A75BCE5" w14:textId="77777777" w:rsidR="00074DBA" w:rsidRDefault="00074DBA" w:rsidP="00642919">
            <w:pPr>
              <w:pStyle w:val="NoSpacing"/>
              <w:spacing w:after="120"/>
              <w:jc w:val="center"/>
            </w:pPr>
          </w:p>
        </w:tc>
        <w:tc>
          <w:tcPr>
            <w:tcW w:w="1563" w:type="dxa"/>
            <w:vAlign w:val="center"/>
          </w:tcPr>
          <w:p w14:paraId="21DC7383" w14:textId="77777777" w:rsidR="00074DBA" w:rsidRDefault="00074DBA" w:rsidP="00642919">
            <w:pPr>
              <w:pStyle w:val="NoSpacing"/>
              <w:spacing w:after="120"/>
              <w:jc w:val="center"/>
            </w:pPr>
          </w:p>
        </w:tc>
      </w:tr>
      <w:tr w:rsidR="00295099" w:rsidRPr="00656A01" w14:paraId="63325634" w14:textId="64A3A7B8" w:rsidTr="000B3DE6">
        <w:trPr>
          <w:trHeight w:val="464"/>
        </w:trPr>
        <w:tc>
          <w:tcPr>
            <w:tcW w:w="1988" w:type="dxa"/>
            <w:vAlign w:val="center"/>
          </w:tcPr>
          <w:p w14:paraId="37C170CF" w14:textId="0B09BDF5" w:rsidR="00295099" w:rsidRPr="00B75006" w:rsidRDefault="00295099" w:rsidP="003906D7">
            <w:pPr>
              <w:pStyle w:val="NoSpacing"/>
              <w:spacing w:after="60"/>
            </w:pPr>
            <w:r w:rsidRPr="00B75006">
              <w:lastRenderedPageBreak/>
              <w:t>Significant risk device determination by a reviewing IRB</w:t>
            </w:r>
          </w:p>
        </w:tc>
        <w:tc>
          <w:tcPr>
            <w:tcW w:w="2314" w:type="dxa"/>
            <w:vAlign w:val="center"/>
          </w:tcPr>
          <w:p w14:paraId="13118261" w14:textId="4725DAB9" w:rsidR="00295099" w:rsidRPr="00656A01" w:rsidRDefault="00295099" w:rsidP="001933DF">
            <w:pPr>
              <w:pStyle w:val="NoSpacing"/>
              <w:spacing w:after="60"/>
            </w:pPr>
            <w:r>
              <w:t xml:space="preserve">Within </w:t>
            </w:r>
            <w:r w:rsidRPr="00656A01">
              <w:t>5 working days</w:t>
            </w:r>
            <w:r>
              <w:t xml:space="preserve"> from sponsor being notified</w:t>
            </w:r>
          </w:p>
        </w:tc>
        <w:tc>
          <w:tcPr>
            <w:tcW w:w="1384" w:type="dxa"/>
            <w:vAlign w:val="center"/>
          </w:tcPr>
          <w:p w14:paraId="11D635C6" w14:textId="18E1878A" w:rsidR="00295099" w:rsidRDefault="00985F53" w:rsidP="00642919">
            <w:pPr>
              <w:pStyle w:val="NoSpacing"/>
              <w:spacing w:after="60"/>
              <w:jc w:val="center"/>
            </w:pPr>
            <w:r>
              <w:t>X</w:t>
            </w:r>
          </w:p>
        </w:tc>
        <w:tc>
          <w:tcPr>
            <w:tcW w:w="1394" w:type="dxa"/>
            <w:vAlign w:val="center"/>
          </w:tcPr>
          <w:p w14:paraId="5C3A52EF" w14:textId="77777777" w:rsidR="00295099" w:rsidRDefault="00295099" w:rsidP="00642919">
            <w:pPr>
              <w:pStyle w:val="NoSpacing"/>
              <w:spacing w:after="60"/>
              <w:jc w:val="center"/>
            </w:pPr>
          </w:p>
        </w:tc>
        <w:tc>
          <w:tcPr>
            <w:tcW w:w="1563" w:type="dxa"/>
            <w:vAlign w:val="center"/>
          </w:tcPr>
          <w:p w14:paraId="756624B8" w14:textId="77777777" w:rsidR="00295099" w:rsidRDefault="00295099" w:rsidP="00642919">
            <w:pPr>
              <w:pStyle w:val="NoSpacing"/>
              <w:spacing w:after="60"/>
              <w:jc w:val="center"/>
            </w:pPr>
          </w:p>
        </w:tc>
      </w:tr>
      <w:tr w:rsidR="00985F53" w:rsidRPr="00656A01" w14:paraId="17EC75E2" w14:textId="6A9B8FBE" w:rsidTr="000B3DE6">
        <w:trPr>
          <w:trHeight w:val="463"/>
        </w:trPr>
        <w:tc>
          <w:tcPr>
            <w:tcW w:w="1988" w:type="dxa"/>
            <w:vMerge w:val="restart"/>
            <w:vAlign w:val="center"/>
          </w:tcPr>
          <w:p w14:paraId="1D21E488" w14:textId="77777777" w:rsidR="00985F53" w:rsidRPr="00B75006" w:rsidRDefault="00985F53" w:rsidP="003906D7">
            <w:pPr>
              <w:pStyle w:val="NoSpacing"/>
              <w:spacing w:after="60"/>
            </w:pPr>
            <w:r w:rsidRPr="00B75006">
              <w:t>Final report</w:t>
            </w:r>
          </w:p>
        </w:tc>
        <w:tc>
          <w:tcPr>
            <w:tcW w:w="2314" w:type="dxa"/>
            <w:vAlign w:val="center"/>
          </w:tcPr>
          <w:p w14:paraId="3848EE81" w14:textId="1244CE31" w:rsidR="00985F53" w:rsidRPr="00656A01" w:rsidRDefault="00985F53" w:rsidP="00075457">
            <w:pPr>
              <w:pStyle w:val="NoSpacing"/>
              <w:spacing w:after="120"/>
            </w:pPr>
            <w:r w:rsidRPr="00656A01">
              <w:t>Notification</w:t>
            </w:r>
            <w:r w:rsidR="00091578">
              <w:t xml:space="preserve"> of completion</w:t>
            </w:r>
            <w:r w:rsidRPr="00656A01">
              <w:t>-</w:t>
            </w:r>
            <w:r w:rsidR="00074DBA">
              <w:t xml:space="preserve"> </w:t>
            </w:r>
            <w:r w:rsidRPr="00656A01">
              <w:t>30 working days</w:t>
            </w:r>
            <w:r>
              <w:t xml:space="preserve"> </w:t>
            </w:r>
          </w:p>
          <w:p w14:paraId="60F28E13" w14:textId="74A6DF40" w:rsidR="00985F53" w:rsidRPr="00656A01" w:rsidRDefault="00985F53" w:rsidP="00882E51">
            <w:pPr>
              <w:pStyle w:val="NoSpacing"/>
              <w:spacing w:after="60"/>
            </w:pPr>
          </w:p>
        </w:tc>
        <w:tc>
          <w:tcPr>
            <w:tcW w:w="1384" w:type="dxa"/>
            <w:vAlign w:val="center"/>
          </w:tcPr>
          <w:p w14:paraId="76E570B0" w14:textId="015492C1" w:rsidR="00985F53" w:rsidRPr="00656A01" w:rsidRDefault="00985F53" w:rsidP="00642919">
            <w:pPr>
              <w:pStyle w:val="NoSpacing"/>
              <w:spacing w:after="120"/>
              <w:jc w:val="center"/>
            </w:pPr>
            <w:r>
              <w:t>X</w:t>
            </w:r>
          </w:p>
        </w:tc>
        <w:tc>
          <w:tcPr>
            <w:tcW w:w="1394" w:type="dxa"/>
            <w:vAlign w:val="center"/>
          </w:tcPr>
          <w:p w14:paraId="5DD9F31B" w14:textId="7E04514E" w:rsidR="00985F53" w:rsidRPr="00656A01" w:rsidRDefault="00996A7D" w:rsidP="00642919">
            <w:pPr>
              <w:pStyle w:val="NoSpacing"/>
              <w:spacing w:after="120"/>
              <w:jc w:val="center"/>
            </w:pPr>
            <w:r>
              <w:t>X</w:t>
            </w:r>
          </w:p>
        </w:tc>
        <w:tc>
          <w:tcPr>
            <w:tcW w:w="1563" w:type="dxa"/>
            <w:vAlign w:val="center"/>
          </w:tcPr>
          <w:p w14:paraId="6CE65140" w14:textId="018B6226" w:rsidR="00985F53" w:rsidRPr="00656A01" w:rsidRDefault="00985F53" w:rsidP="00642919">
            <w:pPr>
              <w:pStyle w:val="NoSpacing"/>
              <w:spacing w:after="120"/>
              <w:jc w:val="center"/>
            </w:pPr>
          </w:p>
        </w:tc>
      </w:tr>
      <w:tr w:rsidR="00985F53" w:rsidRPr="00656A01" w14:paraId="1395E4A7" w14:textId="77777777" w:rsidTr="000B3DE6">
        <w:trPr>
          <w:trHeight w:val="463"/>
        </w:trPr>
        <w:tc>
          <w:tcPr>
            <w:tcW w:w="1988" w:type="dxa"/>
            <w:vMerge/>
            <w:vAlign w:val="center"/>
          </w:tcPr>
          <w:p w14:paraId="2FC684B7" w14:textId="77777777" w:rsidR="00985F53" w:rsidRPr="00656A01" w:rsidRDefault="00985F53" w:rsidP="003906D7">
            <w:pPr>
              <w:pStyle w:val="NoSpacing"/>
              <w:spacing w:after="60"/>
            </w:pPr>
          </w:p>
        </w:tc>
        <w:tc>
          <w:tcPr>
            <w:tcW w:w="2314" w:type="dxa"/>
            <w:vAlign w:val="center"/>
          </w:tcPr>
          <w:p w14:paraId="6DDE1CB8" w14:textId="36216BCF" w:rsidR="00985F53" w:rsidRPr="00656A01" w:rsidRDefault="00074DBA" w:rsidP="00075457">
            <w:pPr>
              <w:pStyle w:val="NoSpacing"/>
              <w:spacing w:after="120"/>
            </w:pPr>
            <w:r>
              <w:t>R</w:t>
            </w:r>
            <w:r w:rsidR="00985F53" w:rsidRPr="00656A01">
              <w:t>eport-</w:t>
            </w:r>
            <w:r>
              <w:t xml:space="preserve"> </w:t>
            </w:r>
            <w:r w:rsidR="00985F53" w:rsidRPr="00656A01">
              <w:t>6 months</w:t>
            </w:r>
          </w:p>
        </w:tc>
        <w:tc>
          <w:tcPr>
            <w:tcW w:w="1384" w:type="dxa"/>
            <w:vAlign w:val="center"/>
          </w:tcPr>
          <w:p w14:paraId="7D00C08B" w14:textId="697241E3" w:rsidR="00985F53" w:rsidRDefault="00985F53" w:rsidP="00642919">
            <w:pPr>
              <w:pStyle w:val="NoSpacing"/>
              <w:spacing w:after="120"/>
              <w:jc w:val="center"/>
            </w:pPr>
            <w:r>
              <w:t>X</w:t>
            </w:r>
          </w:p>
        </w:tc>
        <w:tc>
          <w:tcPr>
            <w:tcW w:w="1394" w:type="dxa"/>
            <w:vAlign w:val="center"/>
          </w:tcPr>
          <w:p w14:paraId="20E77E86" w14:textId="599C3EC0" w:rsidR="00985F53" w:rsidRDefault="00985F53" w:rsidP="00642919">
            <w:pPr>
              <w:pStyle w:val="NoSpacing"/>
              <w:spacing w:after="120"/>
              <w:jc w:val="center"/>
            </w:pPr>
            <w:r>
              <w:t>X</w:t>
            </w:r>
          </w:p>
        </w:tc>
        <w:tc>
          <w:tcPr>
            <w:tcW w:w="1563" w:type="dxa"/>
            <w:vAlign w:val="center"/>
          </w:tcPr>
          <w:p w14:paraId="6BED8F0D" w14:textId="36F94ECB" w:rsidR="00985F53" w:rsidRDefault="00985F53" w:rsidP="00642919">
            <w:pPr>
              <w:pStyle w:val="NoSpacing"/>
              <w:spacing w:after="120"/>
              <w:jc w:val="center"/>
            </w:pPr>
            <w:r>
              <w:t>X</w:t>
            </w:r>
          </w:p>
        </w:tc>
      </w:tr>
      <w:tr w:rsidR="00295099" w:rsidRPr="00656A01" w14:paraId="502D3D65" w14:textId="5AC7ED4C" w:rsidTr="000B3DE6">
        <w:trPr>
          <w:trHeight w:val="463"/>
        </w:trPr>
        <w:tc>
          <w:tcPr>
            <w:tcW w:w="1988" w:type="dxa"/>
            <w:vAlign w:val="center"/>
          </w:tcPr>
          <w:p w14:paraId="65732036" w14:textId="77777777" w:rsidR="00295099" w:rsidRPr="00656A01" w:rsidRDefault="00295099" w:rsidP="003906D7">
            <w:pPr>
              <w:pStyle w:val="NoSpacing"/>
              <w:spacing w:after="60"/>
            </w:pPr>
            <w:r w:rsidRPr="00656A01">
              <w:t>Other</w:t>
            </w:r>
          </w:p>
        </w:tc>
        <w:tc>
          <w:tcPr>
            <w:tcW w:w="2314" w:type="dxa"/>
            <w:vAlign w:val="center"/>
          </w:tcPr>
          <w:p w14:paraId="0CA7B1E7" w14:textId="48AC6AC5" w:rsidR="00295099" w:rsidRPr="00656A01" w:rsidRDefault="00295099" w:rsidP="003906D7">
            <w:pPr>
              <w:pStyle w:val="NoSpacing"/>
              <w:spacing w:after="60"/>
            </w:pPr>
            <w:r w:rsidRPr="00656A01">
              <w:t>As requested by FDA</w:t>
            </w:r>
            <w:r>
              <w:t xml:space="preserve"> or IRB</w:t>
            </w:r>
          </w:p>
        </w:tc>
        <w:tc>
          <w:tcPr>
            <w:tcW w:w="1384" w:type="dxa"/>
            <w:vAlign w:val="center"/>
          </w:tcPr>
          <w:p w14:paraId="1EEDC165" w14:textId="7814AF21" w:rsidR="00295099" w:rsidRPr="00656A01" w:rsidRDefault="00985F53" w:rsidP="00642919">
            <w:pPr>
              <w:pStyle w:val="NoSpacing"/>
              <w:spacing w:after="60"/>
              <w:jc w:val="center"/>
            </w:pPr>
            <w:r>
              <w:t>X</w:t>
            </w:r>
          </w:p>
        </w:tc>
        <w:tc>
          <w:tcPr>
            <w:tcW w:w="1394" w:type="dxa"/>
            <w:vAlign w:val="center"/>
          </w:tcPr>
          <w:p w14:paraId="5A76EF53" w14:textId="67F54F67" w:rsidR="00295099" w:rsidRPr="00656A01" w:rsidRDefault="00985F53" w:rsidP="00642919">
            <w:pPr>
              <w:pStyle w:val="NoSpacing"/>
              <w:spacing w:after="60"/>
              <w:jc w:val="center"/>
            </w:pPr>
            <w:r>
              <w:t>X</w:t>
            </w:r>
          </w:p>
        </w:tc>
        <w:tc>
          <w:tcPr>
            <w:tcW w:w="1563" w:type="dxa"/>
            <w:vAlign w:val="center"/>
          </w:tcPr>
          <w:p w14:paraId="42E76FED" w14:textId="77777777" w:rsidR="00295099" w:rsidRPr="00656A01" w:rsidRDefault="00295099" w:rsidP="00642919">
            <w:pPr>
              <w:pStyle w:val="NoSpacing"/>
              <w:spacing w:after="60"/>
              <w:jc w:val="center"/>
            </w:pPr>
          </w:p>
        </w:tc>
      </w:tr>
    </w:tbl>
    <w:p w14:paraId="729922AE" w14:textId="77777777" w:rsidR="00656A01" w:rsidRDefault="00656A01" w:rsidP="000B3DE6">
      <w:pPr>
        <w:pStyle w:val="NoSpacing"/>
      </w:pPr>
    </w:p>
    <w:p w14:paraId="1E0C54A1" w14:textId="77777777" w:rsidR="000B3DE6" w:rsidRDefault="000B3DE6" w:rsidP="00220FBA">
      <w:pPr>
        <w:pStyle w:val="NoSpacing"/>
        <w:rPr>
          <w:b/>
          <w:u w:val="single"/>
        </w:rPr>
      </w:pPr>
    </w:p>
    <w:p w14:paraId="2ACCB4D0" w14:textId="16217EDB" w:rsidR="00220FBA" w:rsidRDefault="00220FBA" w:rsidP="00220FBA">
      <w:pPr>
        <w:pStyle w:val="NoSpacing"/>
      </w:pPr>
      <w:r w:rsidRPr="00220FBA">
        <w:rPr>
          <w:b/>
          <w:u w:val="single"/>
        </w:rPr>
        <w:t>Amendments</w:t>
      </w:r>
      <w:r>
        <w:rPr>
          <w:b/>
          <w:u w:val="single"/>
        </w:rPr>
        <w:t>:</w:t>
      </w:r>
      <w:r>
        <w:t xml:space="preserve"> </w:t>
      </w:r>
      <w:r w:rsidR="00AD79E4">
        <w:t>Amendments are any response to FDA’s request for more information</w:t>
      </w:r>
      <w:r w:rsidR="00864ED5">
        <w:t xml:space="preserve"> regarding a previously submitted supplement or report or </w:t>
      </w:r>
      <w:r w:rsidR="00D128E3">
        <w:t>original</w:t>
      </w:r>
      <w:r w:rsidR="00864ED5">
        <w:t xml:space="preserve"> IDE</w:t>
      </w:r>
      <w:r w:rsidR="00AD79E4">
        <w:t xml:space="preserve">. </w:t>
      </w:r>
      <w:r>
        <w:t>The FDA tracks any IDE submission sent as a response to deficiencies communicated in an FDA disapproval, approval with conditions, or deficient report letter as an IDE Amendment to that submission</w:t>
      </w:r>
      <w:proofErr w:type="gramStart"/>
      <w:r>
        <w:t xml:space="preserve">.  </w:t>
      </w:r>
      <w:proofErr w:type="gramEnd"/>
      <w:r>
        <w:t>For example, if you receive an “approval with conditions” letter after you submit your original IDE, your response intended to address deficiencies in that letter will be logged in as an Amendment</w:t>
      </w:r>
      <w:proofErr w:type="gramStart"/>
      <w:r>
        <w:t xml:space="preserve">.  </w:t>
      </w:r>
      <w:proofErr w:type="gramEnd"/>
      <w:r>
        <w:t xml:space="preserve">Amendments may be submitted to supplements and </w:t>
      </w:r>
      <w:r w:rsidR="0076435A">
        <w:t>r</w:t>
      </w:r>
      <w:r>
        <w:t>eports, as well as to the Original IDE.</w:t>
      </w:r>
      <w:r w:rsidR="00583AA3">
        <w:t xml:space="preserve"> </w:t>
      </w:r>
    </w:p>
    <w:p w14:paraId="0A414FA1" w14:textId="77777777" w:rsidR="00220FBA" w:rsidRDefault="00220FBA" w:rsidP="00220FBA">
      <w:pPr>
        <w:pStyle w:val="NoSpacing"/>
        <w:ind w:left="720"/>
      </w:pPr>
      <w:r>
        <w:t xml:space="preserve">Submissions tracked as Amendments: </w:t>
      </w:r>
    </w:p>
    <w:p w14:paraId="06989295" w14:textId="77777777" w:rsidR="00220FBA" w:rsidRDefault="00220FBA" w:rsidP="00220FBA">
      <w:pPr>
        <w:pStyle w:val="NoSpacing"/>
        <w:numPr>
          <w:ilvl w:val="0"/>
          <w:numId w:val="9"/>
        </w:numPr>
      </w:pPr>
      <w:r>
        <w:t>Response to Disapproval</w:t>
      </w:r>
    </w:p>
    <w:p w14:paraId="263C0F5C" w14:textId="77777777" w:rsidR="00220FBA" w:rsidRDefault="00220FBA" w:rsidP="00220FBA">
      <w:pPr>
        <w:pStyle w:val="NoSpacing"/>
        <w:numPr>
          <w:ilvl w:val="0"/>
          <w:numId w:val="9"/>
        </w:numPr>
      </w:pPr>
      <w:r>
        <w:t>Response to Approval with Conditions</w:t>
      </w:r>
    </w:p>
    <w:p w14:paraId="6925FCDC" w14:textId="77777777" w:rsidR="00220FBA" w:rsidRDefault="00220FBA" w:rsidP="00220FBA">
      <w:pPr>
        <w:pStyle w:val="NoSpacing"/>
        <w:numPr>
          <w:ilvl w:val="0"/>
          <w:numId w:val="9"/>
        </w:numPr>
      </w:pPr>
      <w:r>
        <w:t>Response to Refuse to Accept</w:t>
      </w:r>
    </w:p>
    <w:p w14:paraId="716265DA" w14:textId="77777777" w:rsidR="00220FBA" w:rsidRDefault="00220FBA" w:rsidP="00220FBA">
      <w:pPr>
        <w:pStyle w:val="NoSpacing"/>
        <w:numPr>
          <w:ilvl w:val="0"/>
          <w:numId w:val="9"/>
        </w:numPr>
      </w:pPr>
      <w:r>
        <w:t>Response to Report Deficient</w:t>
      </w:r>
    </w:p>
    <w:p w14:paraId="66EA458B" w14:textId="77777777" w:rsidR="00220FBA" w:rsidRDefault="00220FBA" w:rsidP="00220FBA">
      <w:pPr>
        <w:pStyle w:val="NoSpacing"/>
        <w:numPr>
          <w:ilvl w:val="0"/>
          <w:numId w:val="9"/>
        </w:numPr>
      </w:pPr>
      <w:r>
        <w:t>Voluntary Withdrawal by Sponsor</w:t>
      </w:r>
    </w:p>
    <w:p w14:paraId="4FA3FF87" w14:textId="77777777" w:rsidR="00DA2256" w:rsidRDefault="00DA2256" w:rsidP="003906D7">
      <w:pPr>
        <w:pStyle w:val="Heading1"/>
      </w:pPr>
      <w:bookmarkStart w:id="0" w:name="_GoBack"/>
      <w:bookmarkEnd w:id="0"/>
      <w:r>
        <w:t>Can I include information that should be reported under different submission types in one submission?</w:t>
      </w:r>
    </w:p>
    <w:p w14:paraId="618ED0D5" w14:textId="5E76C954" w:rsidR="00DA2256" w:rsidRDefault="007F6D98" w:rsidP="00606B7C">
      <w:pPr>
        <w:pStyle w:val="NoSpacing"/>
        <w:ind w:left="360"/>
      </w:pPr>
      <w:r>
        <w:t>No, this is not recommend.</w:t>
      </w:r>
      <w:r w:rsidR="00DA2256">
        <w:t xml:space="preserve"> Your IDE submission cover letter should identify the reason for the submission and you may use the submission reasons in the bulleted lists above. </w:t>
      </w:r>
    </w:p>
    <w:p w14:paraId="3EEE5FB5" w14:textId="77777777" w:rsidR="00DA2256" w:rsidRDefault="00DA2256" w:rsidP="00606B7C">
      <w:pPr>
        <w:pStyle w:val="NoSpacing"/>
        <w:ind w:left="360"/>
      </w:pPr>
    </w:p>
    <w:p w14:paraId="59DA84E9" w14:textId="77777777" w:rsidR="00DA2256" w:rsidRDefault="00DA2256" w:rsidP="00606B7C">
      <w:pPr>
        <w:pStyle w:val="NoSpacing"/>
        <w:ind w:left="360"/>
      </w:pPr>
      <w:r>
        <w:t>The following examples illustrate the challenges that arise when one submission includes more than one submission reason (for example, a request to modify the study protocol, a deficiency letter response, and an adverse event report are three different submission reasons):</w:t>
      </w:r>
    </w:p>
    <w:p w14:paraId="2F29B689" w14:textId="77777777" w:rsidR="00DA2256" w:rsidRDefault="00DA2256" w:rsidP="00DA2256">
      <w:pPr>
        <w:pStyle w:val="NoSpacing"/>
      </w:pPr>
    </w:p>
    <w:p w14:paraId="6E4C8214" w14:textId="77777777" w:rsidR="00DA2256" w:rsidRDefault="00DA2256" w:rsidP="00DA2256">
      <w:pPr>
        <w:pStyle w:val="NoSpacing"/>
        <w:numPr>
          <w:ilvl w:val="0"/>
          <w:numId w:val="10"/>
        </w:numPr>
      </w:pPr>
      <w:r>
        <w:t xml:space="preserve">A submission contains both a response to deficiencies from a disapproval letter and a request for a design change. The FDA finds the deficiency responses acceptable, but finds that the design change raises new safety concerns. Because FDA makes only one decision per submission, the FDA would disapprove the entire submission and </w:t>
      </w:r>
      <w:r>
        <w:lastRenderedPageBreak/>
        <w:t>the proposed study would remain disapproved. Therefore, separate submissions for responses to deficiencies and unrelated change requests may result in more timely study initiation or progress.</w:t>
      </w:r>
    </w:p>
    <w:p w14:paraId="08273114" w14:textId="77777777" w:rsidR="00DA2256" w:rsidRDefault="00DA2256" w:rsidP="00DA2256">
      <w:pPr>
        <w:pStyle w:val="NoSpacing"/>
        <w:numPr>
          <w:ilvl w:val="0"/>
          <w:numId w:val="10"/>
        </w:numPr>
      </w:pPr>
      <w:r>
        <w:t>A submission intended to report the progress of a study also includes a request to change the study protocol. Because changes to the study protocol require FDA approval prior to implementation and would be deemed approved if a decision is not made within the 30-day review period, the FDA will prioritize review of the change request over review of the report. As such, FDA will consider the submission to be a Supplement</w:t>
      </w:r>
      <w:proofErr w:type="gramStart"/>
      <w:r>
        <w:t xml:space="preserve">.  </w:t>
      </w:r>
      <w:proofErr w:type="gramEnd"/>
      <w:r>
        <w:t>In this case, the reporting requirement would not have been met and a separate report would be required. Therefore, separate initial submissions for reports and requests to change the device or study will result in more timely IDE submission review.</w:t>
      </w:r>
    </w:p>
    <w:p w14:paraId="629290D3" w14:textId="77777777" w:rsidR="00606B7C" w:rsidRDefault="00606B7C" w:rsidP="00606B7C">
      <w:pPr>
        <w:pStyle w:val="NoSpacing"/>
        <w:ind w:left="720"/>
      </w:pPr>
    </w:p>
    <w:p w14:paraId="2BCAD036" w14:textId="77777777" w:rsidR="00DA2256" w:rsidRPr="00DA2256" w:rsidRDefault="00DA2256" w:rsidP="00606B7C">
      <w:pPr>
        <w:pStyle w:val="NoSpacing"/>
        <w:ind w:left="360"/>
      </w:pPr>
      <w:r>
        <w:t xml:space="preserve">While it is not </w:t>
      </w:r>
      <w:r w:rsidR="00606B7C">
        <w:t>recommend to combine submission types</w:t>
      </w:r>
      <w:r>
        <w:t>, FDA will work interactively with submitters to address any submissions that mistakenly contain multiple submission reasons, such as those described in the examples above.</w:t>
      </w:r>
    </w:p>
    <w:p w14:paraId="5867988A" w14:textId="4C5140E6" w:rsidR="003D4D9E" w:rsidRPr="00BA64E6" w:rsidRDefault="0010207B" w:rsidP="003906D7">
      <w:pPr>
        <w:pStyle w:val="Heading1"/>
      </w:pPr>
      <w:r>
        <w:t xml:space="preserve">To </w:t>
      </w:r>
      <w:r w:rsidR="00AE51B5">
        <w:t>w</w:t>
      </w:r>
      <w:r w:rsidR="003D4D9E" w:rsidRPr="00BA64E6">
        <w:t xml:space="preserve">hom do I address </w:t>
      </w:r>
      <w:r w:rsidR="00DA2256">
        <w:t xml:space="preserve">supplements, </w:t>
      </w:r>
      <w:proofErr w:type="gramStart"/>
      <w:r w:rsidR="00DA2256">
        <w:t>reports</w:t>
      </w:r>
      <w:proofErr w:type="gramEnd"/>
      <w:r w:rsidR="00DA2256">
        <w:t xml:space="preserve"> and </w:t>
      </w:r>
      <w:r w:rsidR="00BD4FDD">
        <w:t>a</w:t>
      </w:r>
      <w:r w:rsidR="00E927E9">
        <w:t>mendments</w:t>
      </w:r>
      <w:r w:rsidR="003D4D9E" w:rsidRPr="00BA64E6">
        <w:t>?</w:t>
      </w:r>
    </w:p>
    <w:p w14:paraId="1953DAF3" w14:textId="3D0367CD" w:rsidR="001B3119" w:rsidRPr="001B3119" w:rsidRDefault="000E0483" w:rsidP="00606B7C">
      <w:pPr>
        <w:ind w:left="360"/>
      </w:pPr>
      <w:r>
        <w:t>All I</w:t>
      </w:r>
      <w:r w:rsidR="007A3914">
        <w:t>DE</w:t>
      </w:r>
      <w:r>
        <w:t xml:space="preserve"> </w:t>
      </w:r>
      <w:r w:rsidR="00DA2256">
        <w:t xml:space="preserve">submissions should be </w:t>
      </w:r>
      <w:r w:rsidR="0010207B">
        <w:t>sent to the person identified by the FDA in your initial notification letter.</w:t>
      </w:r>
    </w:p>
    <w:p w14:paraId="381D0504" w14:textId="77777777" w:rsidR="00793DDA" w:rsidRPr="00A04970" w:rsidRDefault="003D4D9E" w:rsidP="003906D7">
      <w:pPr>
        <w:pStyle w:val="Heading1"/>
      </w:pPr>
      <w:r w:rsidRPr="00BA64E6">
        <w:t>Where can I get more information</w:t>
      </w:r>
      <w:r w:rsidR="00606B7C">
        <w:t xml:space="preserve"> on IDE Submissions</w:t>
      </w:r>
      <w:r w:rsidRPr="00BA64E6">
        <w:t>?</w:t>
      </w:r>
    </w:p>
    <w:p w14:paraId="4C564C75" w14:textId="77777777" w:rsidR="00775969" w:rsidRDefault="00606B7C" w:rsidP="00606B7C">
      <w:pPr>
        <w:pStyle w:val="NoSpacing"/>
        <w:ind w:left="360"/>
      </w:pPr>
      <w:r>
        <w:t>More information regarding the recent IDE tracking improvements made by CDRH can be found here:</w:t>
      </w:r>
    </w:p>
    <w:p w14:paraId="25C014D3" w14:textId="1F3FB302" w:rsidR="00775969" w:rsidRDefault="000B3DE6" w:rsidP="00606B7C">
      <w:pPr>
        <w:pStyle w:val="NoSpacing"/>
        <w:ind w:left="360"/>
      </w:pPr>
      <w:hyperlink r:id="rId9" w:history="1">
        <w:r w:rsidR="00775969" w:rsidRPr="00430D4C">
          <w:rPr>
            <w:rStyle w:val="Hyperlink"/>
          </w:rPr>
          <w:t>https://www.fda.gov/medical-devices/investigational-device-exemption-ide/ide-tracking-improvements</w:t>
        </w:r>
      </w:hyperlink>
    </w:p>
    <w:p w14:paraId="6E864F2A" w14:textId="77777777" w:rsidR="00606B7C" w:rsidRDefault="00606B7C" w:rsidP="00606B7C">
      <w:pPr>
        <w:pStyle w:val="NoSpacing"/>
        <w:ind w:left="360"/>
      </w:pPr>
    </w:p>
    <w:p w14:paraId="3197F026" w14:textId="77777777" w:rsidR="002A327F" w:rsidRDefault="002A327F" w:rsidP="00606B7C">
      <w:pPr>
        <w:pStyle w:val="NoSpacing"/>
        <w:ind w:left="360"/>
      </w:pPr>
      <w:r>
        <w:t>More information on IDE Reports can be found here:</w:t>
      </w:r>
    </w:p>
    <w:p w14:paraId="2CE4BF3E" w14:textId="69C30D1F" w:rsidR="00775969" w:rsidRDefault="000B3DE6" w:rsidP="00606B7C">
      <w:pPr>
        <w:pStyle w:val="NoSpacing"/>
        <w:ind w:left="360"/>
      </w:pPr>
      <w:hyperlink r:id="rId10" w:history="1">
        <w:r w:rsidR="004E1943" w:rsidRPr="0017703D">
          <w:rPr>
            <w:rStyle w:val="Hyperlink"/>
          </w:rPr>
          <w:t>https://www.fda.gov/medical-devices/investigational-device-exemption-ide/ide-reports</w:t>
        </w:r>
      </w:hyperlink>
      <w:r w:rsidR="004E1943">
        <w:t xml:space="preserve"> </w:t>
      </w:r>
    </w:p>
    <w:p w14:paraId="5A438D2D" w14:textId="77777777" w:rsidR="002A327F" w:rsidRDefault="002A327F" w:rsidP="00606B7C">
      <w:pPr>
        <w:pStyle w:val="NoSpacing"/>
        <w:ind w:left="360"/>
      </w:pPr>
    </w:p>
    <w:p w14:paraId="07D58979" w14:textId="34BC8771" w:rsidR="00676C19" w:rsidRDefault="00676C19" w:rsidP="00606B7C">
      <w:pPr>
        <w:pStyle w:val="NoSpacing"/>
        <w:ind w:left="360"/>
      </w:pPr>
      <w:r>
        <w:t>More information on IDE Supplements for changes or modifications during the conduct of a clinical investigation can be found here:</w:t>
      </w:r>
    </w:p>
    <w:p w14:paraId="2C5A8EED" w14:textId="7ADB3D58" w:rsidR="00676C19" w:rsidRDefault="000B3DE6" w:rsidP="00606B7C">
      <w:pPr>
        <w:pStyle w:val="NoSpacing"/>
        <w:ind w:left="360"/>
      </w:pPr>
      <w:hyperlink r:id="rId11" w:history="1">
        <w:r w:rsidR="00676C19" w:rsidRPr="00E46C6A">
          <w:rPr>
            <w:rStyle w:val="Hyperlink"/>
          </w:rPr>
          <w:t>https://www.fda.gov/regulatory-information/search-fda-guidance-documents/changes-or-modifications-during-conduct-clinical-investigation-final-guidance-industry-and-cdrh</w:t>
        </w:r>
      </w:hyperlink>
    </w:p>
    <w:p w14:paraId="39136EB2" w14:textId="77777777" w:rsidR="00676C19" w:rsidRDefault="00676C19" w:rsidP="00606B7C">
      <w:pPr>
        <w:pStyle w:val="NoSpacing"/>
        <w:ind w:left="360"/>
      </w:pPr>
    </w:p>
    <w:p w14:paraId="6C8BD78E" w14:textId="586BC28D" w:rsidR="00CC35EC" w:rsidRDefault="004162F8" w:rsidP="00606B7C">
      <w:pPr>
        <w:pStyle w:val="NoSpacing"/>
        <w:ind w:left="360"/>
      </w:pPr>
      <w:r>
        <w:t>More information on FDA decisions for IDEs</w:t>
      </w:r>
    </w:p>
    <w:p w14:paraId="4BD9451E" w14:textId="47CD4610" w:rsidR="00775969" w:rsidRDefault="000B3DE6" w:rsidP="00606B7C">
      <w:pPr>
        <w:pStyle w:val="NoSpacing"/>
        <w:ind w:left="360"/>
      </w:pPr>
      <w:hyperlink r:id="rId12" w:history="1">
        <w:r w:rsidR="004E1943" w:rsidRPr="0017703D">
          <w:rPr>
            <w:rStyle w:val="Hyperlink"/>
          </w:rPr>
          <w:t>https://www.fda.gov/regulatory-information/search-fda-guidance-documents/fda-decisions-investigational-device-exemption-clinical-investigations</w:t>
        </w:r>
      </w:hyperlink>
      <w:r w:rsidR="004E1943">
        <w:t xml:space="preserve"> </w:t>
      </w:r>
    </w:p>
    <w:p w14:paraId="733F52A4" w14:textId="77777777" w:rsidR="00CC35EC" w:rsidRDefault="00CC35EC" w:rsidP="00606B7C">
      <w:pPr>
        <w:pStyle w:val="NoSpacing"/>
        <w:ind w:left="360"/>
      </w:pPr>
    </w:p>
    <w:p w14:paraId="5F525324" w14:textId="79B1F976" w:rsidR="00606B7C" w:rsidRPr="00606B7C" w:rsidRDefault="00606B7C" w:rsidP="00606B7C">
      <w:pPr>
        <w:pStyle w:val="NoSpacing"/>
        <w:ind w:left="360"/>
      </w:pPr>
      <w:r>
        <w:t>If additional information i</w:t>
      </w:r>
      <w:r w:rsidR="00417F39">
        <w:t>s</w:t>
      </w:r>
      <w:r>
        <w:t xml:space="preserve"> needed, t</w:t>
      </w:r>
      <w:r w:rsidRPr="00606B7C">
        <w:t>he CDRH IDE Staff can help answer any questions at 301-796-5640.</w:t>
      </w:r>
    </w:p>
    <w:p w14:paraId="744C65C4" w14:textId="77777777" w:rsidR="00606B7C" w:rsidRPr="00606B7C" w:rsidRDefault="00606B7C" w:rsidP="00606B7C">
      <w:pPr>
        <w:pStyle w:val="NoSpacing"/>
        <w:ind w:left="360"/>
      </w:pPr>
    </w:p>
    <w:p w14:paraId="31E8FA4E" w14:textId="77777777" w:rsidR="00606B7C" w:rsidRPr="00606B7C" w:rsidRDefault="00606B7C" w:rsidP="00606B7C">
      <w:pPr>
        <w:pStyle w:val="NoSpacing"/>
        <w:ind w:left="360"/>
      </w:pPr>
      <w:r w:rsidRPr="00606B7C">
        <w:t xml:space="preserve">For questions specific to devices reviewed by the Center for Biologics Evaluation and Research (CBER), please contact CBER’s Office of Communication, </w:t>
      </w:r>
      <w:proofErr w:type="gramStart"/>
      <w:r>
        <w:t>Outreach</w:t>
      </w:r>
      <w:proofErr w:type="gramEnd"/>
      <w:r>
        <w:t xml:space="preserve"> and Development (OCOD) at </w:t>
      </w:r>
      <w:r w:rsidRPr="00606B7C">
        <w:t>301-827-1800</w:t>
      </w:r>
      <w:r>
        <w:t xml:space="preserve">.  </w:t>
      </w:r>
    </w:p>
    <w:sectPr w:rsidR="00606B7C" w:rsidRPr="00606B7C" w:rsidSect="001926D0">
      <w:headerReference w:type="default"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9E1EA" w14:textId="77777777" w:rsidR="00E75685" w:rsidRDefault="00E75685">
      <w:r>
        <w:separator/>
      </w:r>
    </w:p>
  </w:endnote>
  <w:endnote w:type="continuationSeparator" w:id="0">
    <w:p w14:paraId="530565F9" w14:textId="77777777" w:rsidR="00E75685" w:rsidRDefault="00E7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F015B" w14:textId="7AB39EDC" w:rsidR="00643153" w:rsidRDefault="004E1943">
    <w:pPr>
      <w:pStyle w:val="Footer"/>
      <w:rPr>
        <w:sz w:val="20"/>
        <w:szCs w:val="20"/>
      </w:rPr>
    </w:pPr>
    <w:r w:rsidRPr="004E1943">
      <w:rPr>
        <w:sz w:val="20"/>
        <w:szCs w:val="20"/>
      </w:rPr>
      <w:t xml:space="preserve">ORAQ, Current as of </w:t>
    </w:r>
    <w:r w:rsidR="000972A4">
      <w:rPr>
        <w:sz w:val="20"/>
        <w:szCs w:val="20"/>
      </w:rPr>
      <w:t>30</w:t>
    </w:r>
    <w:r w:rsidR="00381268">
      <w:rPr>
        <w:sz w:val="20"/>
        <w:szCs w:val="20"/>
      </w:rPr>
      <w:t>April</w:t>
    </w:r>
    <w:r w:rsidRPr="004E1943">
      <w:rPr>
        <w:sz w:val="20"/>
        <w:szCs w:val="20"/>
      </w:rPr>
      <w:t>2022</w:t>
    </w:r>
    <w:r w:rsidR="00643153">
      <w:rPr>
        <w:i/>
        <w:sz w:val="20"/>
        <w:szCs w:val="20"/>
      </w:rPr>
      <w:t xml:space="preserve">  </w:t>
    </w:r>
    <w:r w:rsidR="00643153" w:rsidRPr="00BA64E6">
      <w:rPr>
        <w:sz w:val="20"/>
        <w:szCs w:val="20"/>
      </w:rPr>
      <w:tab/>
    </w:r>
    <w:r w:rsidR="00643153" w:rsidRPr="00BA64E6">
      <w:rPr>
        <w:sz w:val="20"/>
        <w:szCs w:val="20"/>
      </w:rPr>
      <w:tab/>
    </w:r>
  </w:p>
  <w:p w14:paraId="4573F0C0" w14:textId="20AC1A5D" w:rsidR="00643153" w:rsidRPr="00BA64E6" w:rsidRDefault="00643153" w:rsidP="00800615">
    <w:pPr>
      <w:pStyle w:val="Footer"/>
      <w:jc w:val="center"/>
      <w:rPr>
        <w:sz w:val="20"/>
        <w:szCs w:val="20"/>
      </w:rPr>
    </w:pPr>
    <w:r>
      <w:rPr>
        <w:sz w:val="20"/>
        <w:szCs w:val="20"/>
      </w:rPr>
      <w:t xml:space="preserve">Page </w:t>
    </w:r>
    <w:r>
      <w:rPr>
        <w:rStyle w:val="PageNumber"/>
      </w:rPr>
      <w:fldChar w:fldCharType="begin"/>
    </w:r>
    <w:r>
      <w:rPr>
        <w:rStyle w:val="PageNumber"/>
      </w:rPr>
      <w:instrText xml:space="preserve"> PAGE </w:instrText>
    </w:r>
    <w:r>
      <w:rPr>
        <w:rStyle w:val="PageNumber"/>
      </w:rPr>
      <w:fldChar w:fldCharType="separate"/>
    </w:r>
    <w:r w:rsidR="000B3DE6">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B3DE6">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973A6" w14:textId="77777777" w:rsidR="00E75685" w:rsidRDefault="00E75685">
      <w:r>
        <w:separator/>
      </w:r>
    </w:p>
  </w:footnote>
  <w:footnote w:type="continuationSeparator" w:id="0">
    <w:p w14:paraId="393B3C12" w14:textId="77777777" w:rsidR="00E75685" w:rsidRDefault="00E75685">
      <w:r>
        <w:continuationSeparator/>
      </w:r>
    </w:p>
  </w:footnote>
  <w:footnote w:id="1">
    <w:p w14:paraId="35292281" w14:textId="40CF95F5" w:rsidR="00295099" w:rsidRDefault="00295099" w:rsidP="009373F6">
      <w:pPr>
        <w:pStyle w:val="FootnoteText"/>
      </w:pPr>
      <w:r>
        <w:rPr>
          <w:rStyle w:val="FootnoteReference"/>
        </w:rPr>
        <w:footnoteRef/>
      </w:r>
      <w:r>
        <w:t xml:space="preserve"> Deviations from the Investigational Plan Reports are submitted by Investigators and Sponsor-Investigators to the reviewing IRB. These reports are not required to be submitted to the FDA</w:t>
      </w:r>
      <w:r w:rsidR="00DE5306">
        <w:t xml:space="preserve"> unless the change or deviation </w:t>
      </w:r>
      <w:r w:rsidR="00DE5306" w:rsidRPr="00DE5306">
        <w:t>may affect the scientific soundness of the plan or the rights, safety, or welfare of human subjects</w:t>
      </w:r>
      <w:r w:rsidR="00DE5306">
        <w:t xml:space="preserve"> </w:t>
      </w:r>
      <w:r w:rsidR="00DE5306" w:rsidRPr="00DE5306">
        <w:t>in accordance with § 812.35(a)</w:t>
      </w:r>
      <w:r w:rsidR="00DE5306">
        <w:t>.</w:t>
      </w:r>
    </w:p>
    <w:p w14:paraId="205B0F34" w14:textId="12EA942C" w:rsidR="00985F53" w:rsidRDefault="00642919" w:rsidP="009373F6">
      <w:pPr>
        <w:pStyle w:val="FootnoteText"/>
      </w:pPr>
      <w:r>
        <w:rPr>
          <w:rStyle w:val="FootnoteReference"/>
        </w:rPr>
        <w:t>2</w:t>
      </w:r>
      <w:r w:rsidR="00985F53">
        <w:t xml:space="preserve"> </w:t>
      </w:r>
      <w:r w:rsidR="0005685B">
        <w:t>Failure to Obtain Informed Consent reports</w:t>
      </w:r>
      <w:r w:rsidR="00985F53">
        <w:t xml:space="preserve"> are submitted by Investigators and Sponsor-Investigators to the reviewing IRB. Sponsors and Sponsor-Investigators must submit these reports to the FDA.</w:t>
      </w:r>
    </w:p>
  </w:footnote>
  <w:footnote w:id="2">
    <w:p w14:paraId="5589C08E" w14:textId="30E57DBE" w:rsidR="00074DBA" w:rsidRDefault="00074DBA" w:rsidP="009373F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8B1A8" w14:textId="00DB233F" w:rsidR="00643153" w:rsidRPr="003D4D9E" w:rsidRDefault="00643153" w:rsidP="003D4D9E">
    <w:pPr>
      <w:pStyle w:val="Header"/>
      <w:jc w:val="right"/>
      <w:rPr>
        <w:b/>
      </w:rPr>
    </w:pPr>
    <w:r w:rsidRPr="003D4D9E">
      <w:rPr>
        <w:b/>
      </w:rPr>
      <w:t>21</w:t>
    </w:r>
    <w:r w:rsidR="009D54C2">
      <w:rPr>
        <w:b/>
      </w:rPr>
      <w:t xml:space="preserve"> </w:t>
    </w:r>
    <w:r w:rsidRPr="003D4D9E">
      <w:rPr>
        <w:b/>
      </w:rPr>
      <w:t xml:space="preserve">CFR </w:t>
    </w:r>
    <w:r>
      <w:rPr>
        <w:b/>
      </w:rPr>
      <w:t>Part 812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674CE"/>
    <w:multiLevelType w:val="hybridMultilevel"/>
    <w:tmpl w:val="C20A788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DD0FD0"/>
    <w:multiLevelType w:val="hybridMultilevel"/>
    <w:tmpl w:val="0CBE3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716D0B"/>
    <w:multiLevelType w:val="hybridMultilevel"/>
    <w:tmpl w:val="105AA4A2"/>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34544B7F"/>
    <w:multiLevelType w:val="hybridMultilevel"/>
    <w:tmpl w:val="DDD02C4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110164"/>
    <w:multiLevelType w:val="hybridMultilevel"/>
    <w:tmpl w:val="EE6E7D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744AEB"/>
    <w:multiLevelType w:val="hybridMultilevel"/>
    <w:tmpl w:val="DF58CA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136E2B"/>
    <w:multiLevelType w:val="hybridMultilevel"/>
    <w:tmpl w:val="DE68BD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305F26"/>
    <w:multiLevelType w:val="hybridMultilevel"/>
    <w:tmpl w:val="9F724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A4B3924"/>
    <w:multiLevelType w:val="hybridMultilevel"/>
    <w:tmpl w:val="AB568FA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720479"/>
    <w:multiLevelType w:val="hybridMultilevel"/>
    <w:tmpl w:val="AA3EA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7C04E7B"/>
    <w:multiLevelType w:val="hybridMultilevel"/>
    <w:tmpl w:val="FDF8D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2E5A57"/>
    <w:multiLevelType w:val="hybridMultilevel"/>
    <w:tmpl w:val="2398F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CEE02C9"/>
    <w:multiLevelType w:val="multilevel"/>
    <w:tmpl w:val="105AA4A2"/>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num w:numId="1">
    <w:abstractNumId w:val="3"/>
  </w:num>
  <w:num w:numId="2">
    <w:abstractNumId w:val="6"/>
  </w:num>
  <w:num w:numId="3">
    <w:abstractNumId w:val="2"/>
  </w:num>
  <w:num w:numId="4">
    <w:abstractNumId w:val="12"/>
  </w:num>
  <w:num w:numId="5">
    <w:abstractNumId w:val="4"/>
  </w:num>
  <w:num w:numId="6">
    <w:abstractNumId w:val="8"/>
  </w:num>
  <w:num w:numId="7">
    <w:abstractNumId w:val="5"/>
  </w:num>
  <w:num w:numId="8">
    <w:abstractNumId w:val="1"/>
  </w:num>
  <w:num w:numId="9">
    <w:abstractNumId w:val="11"/>
  </w:num>
  <w:num w:numId="10">
    <w:abstractNumId w:val="7"/>
  </w:num>
  <w:num w:numId="11">
    <w:abstractNumId w:val="9"/>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000"/>
    <w:rsid w:val="00020164"/>
    <w:rsid w:val="00033125"/>
    <w:rsid w:val="000357DB"/>
    <w:rsid w:val="0005685B"/>
    <w:rsid w:val="00074DBA"/>
    <w:rsid w:val="00075457"/>
    <w:rsid w:val="00091578"/>
    <w:rsid w:val="000972A4"/>
    <w:rsid w:val="000B3AC1"/>
    <w:rsid w:val="000B3DE6"/>
    <w:rsid w:val="000E0483"/>
    <w:rsid w:val="0010207B"/>
    <w:rsid w:val="001023F8"/>
    <w:rsid w:val="0010329D"/>
    <w:rsid w:val="001177AF"/>
    <w:rsid w:val="00153F7B"/>
    <w:rsid w:val="00156FA9"/>
    <w:rsid w:val="00171827"/>
    <w:rsid w:val="001926D0"/>
    <w:rsid w:val="001933DF"/>
    <w:rsid w:val="001A081A"/>
    <w:rsid w:val="001B3119"/>
    <w:rsid w:val="001D37D7"/>
    <w:rsid w:val="001E73E8"/>
    <w:rsid w:val="002127D8"/>
    <w:rsid w:val="002170DE"/>
    <w:rsid w:val="00220FBA"/>
    <w:rsid w:val="002222BE"/>
    <w:rsid w:val="002774AA"/>
    <w:rsid w:val="0028552A"/>
    <w:rsid w:val="002903A4"/>
    <w:rsid w:val="00295099"/>
    <w:rsid w:val="002A327F"/>
    <w:rsid w:val="002A526D"/>
    <w:rsid w:val="002C1562"/>
    <w:rsid w:val="00307B45"/>
    <w:rsid w:val="003101F3"/>
    <w:rsid w:val="00311534"/>
    <w:rsid w:val="0031223D"/>
    <w:rsid w:val="00365930"/>
    <w:rsid w:val="00381268"/>
    <w:rsid w:val="003906D7"/>
    <w:rsid w:val="003B708A"/>
    <w:rsid w:val="003D4D9E"/>
    <w:rsid w:val="003E1B77"/>
    <w:rsid w:val="003E5650"/>
    <w:rsid w:val="004162F8"/>
    <w:rsid w:val="00416EEE"/>
    <w:rsid w:val="00417F39"/>
    <w:rsid w:val="004672B6"/>
    <w:rsid w:val="004C3175"/>
    <w:rsid w:val="004C5ABC"/>
    <w:rsid w:val="004E1943"/>
    <w:rsid w:val="004F3351"/>
    <w:rsid w:val="005023C9"/>
    <w:rsid w:val="00525EAF"/>
    <w:rsid w:val="00533134"/>
    <w:rsid w:val="00550CE5"/>
    <w:rsid w:val="0057066A"/>
    <w:rsid w:val="005713E7"/>
    <w:rsid w:val="005823CE"/>
    <w:rsid w:val="00583AA3"/>
    <w:rsid w:val="005A089F"/>
    <w:rsid w:val="005C1000"/>
    <w:rsid w:val="005C1E0C"/>
    <w:rsid w:val="005C1F95"/>
    <w:rsid w:val="005E4B59"/>
    <w:rsid w:val="005E6340"/>
    <w:rsid w:val="00606B7C"/>
    <w:rsid w:val="00610242"/>
    <w:rsid w:val="00617E24"/>
    <w:rsid w:val="00622828"/>
    <w:rsid w:val="00642919"/>
    <w:rsid w:val="00643153"/>
    <w:rsid w:val="00652045"/>
    <w:rsid w:val="00656A01"/>
    <w:rsid w:val="00657898"/>
    <w:rsid w:val="00673DEE"/>
    <w:rsid w:val="00676C19"/>
    <w:rsid w:val="0068083C"/>
    <w:rsid w:val="006B6CF0"/>
    <w:rsid w:val="006B76EB"/>
    <w:rsid w:val="006B7FC4"/>
    <w:rsid w:val="006C160B"/>
    <w:rsid w:val="006E3254"/>
    <w:rsid w:val="006E74DF"/>
    <w:rsid w:val="006E77A4"/>
    <w:rsid w:val="00726549"/>
    <w:rsid w:val="00727835"/>
    <w:rsid w:val="0076435A"/>
    <w:rsid w:val="00775969"/>
    <w:rsid w:val="00793DDA"/>
    <w:rsid w:val="007A3914"/>
    <w:rsid w:val="007A5A60"/>
    <w:rsid w:val="007B0D5B"/>
    <w:rsid w:val="007B1A10"/>
    <w:rsid w:val="007B3EB2"/>
    <w:rsid w:val="007B4964"/>
    <w:rsid w:val="007C4070"/>
    <w:rsid w:val="007E0CA2"/>
    <w:rsid w:val="007F6D98"/>
    <w:rsid w:val="00800615"/>
    <w:rsid w:val="0080062E"/>
    <w:rsid w:val="00801DD8"/>
    <w:rsid w:val="0084503C"/>
    <w:rsid w:val="00864ED5"/>
    <w:rsid w:val="0087222A"/>
    <w:rsid w:val="00882E51"/>
    <w:rsid w:val="00895AED"/>
    <w:rsid w:val="008A3E80"/>
    <w:rsid w:val="008A4FF6"/>
    <w:rsid w:val="008B0FFD"/>
    <w:rsid w:val="008C0F0A"/>
    <w:rsid w:val="008C3E5C"/>
    <w:rsid w:val="008D3A52"/>
    <w:rsid w:val="009023E7"/>
    <w:rsid w:val="00916BDB"/>
    <w:rsid w:val="00923C7D"/>
    <w:rsid w:val="00936F51"/>
    <w:rsid w:val="009373F6"/>
    <w:rsid w:val="00943373"/>
    <w:rsid w:val="00944D93"/>
    <w:rsid w:val="0095465C"/>
    <w:rsid w:val="00985048"/>
    <w:rsid w:val="00985F53"/>
    <w:rsid w:val="00996A7D"/>
    <w:rsid w:val="009A3600"/>
    <w:rsid w:val="009C26EF"/>
    <w:rsid w:val="009D54C2"/>
    <w:rsid w:val="009E16C4"/>
    <w:rsid w:val="009F0CEF"/>
    <w:rsid w:val="00A02EAF"/>
    <w:rsid w:val="00A04970"/>
    <w:rsid w:val="00A0588A"/>
    <w:rsid w:val="00A14C07"/>
    <w:rsid w:val="00A203C6"/>
    <w:rsid w:val="00A25FC6"/>
    <w:rsid w:val="00A61CDC"/>
    <w:rsid w:val="00AA3767"/>
    <w:rsid w:val="00AC21E4"/>
    <w:rsid w:val="00AD79E4"/>
    <w:rsid w:val="00AE51B5"/>
    <w:rsid w:val="00AF27B5"/>
    <w:rsid w:val="00B005E1"/>
    <w:rsid w:val="00B1123A"/>
    <w:rsid w:val="00B1366D"/>
    <w:rsid w:val="00B151B0"/>
    <w:rsid w:val="00B20516"/>
    <w:rsid w:val="00B307CB"/>
    <w:rsid w:val="00B73C41"/>
    <w:rsid w:val="00B75006"/>
    <w:rsid w:val="00BA64E6"/>
    <w:rsid w:val="00BD0D48"/>
    <w:rsid w:val="00BD4FDD"/>
    <w:rsid w:val="00BD69B1"/>
    <w:rsid w:val="00BE19B4"/>
    <w:rsid w:val="00C14BB4"/>
    <w:rsid w:val="00C215E2"/>
    <w:rsid w:val="00C23F09"/>
    <w:rsid w:val="00C30CFD"/>
    <w:rsid w:val="00C43738"/>
    <w:rsid w:val="00C466CD"/>
    <w:rsid w:val="00C83DBA"/>
    <w:rsid w:val="00CC35EC"/>
    <w:rsid w:val="00CF7CCE"/>
    <w:rsid w:val="00D128E3"/>
    <w:rsid w:val="00D2048A"/>
    <w:rsid w:val="00D421A1"/>
    <w:rsid w:val="00D55B6C"/>
    <w:rsid w:val="00DA2256"/>
    <w:rsid w:val="00DB20CD"/>
    <w:rsid w:val="00DB3381"/>
    <w:rsid w:val="00DE5306"/>
    <w:rsid w:val="00E1180D"/>
    <w:rsid w:val="00E14BA1"/>
    <w:rsid w:val="00E1667C"/>
    <w:rsid w:val="00E21DD8"/>
    <w:rsid w:val="00E33227"/>
    <w:rsid w:val="00E67485"/>
    <w:rsid w:val="00E75685"/>
    <w:rsid w:val="00E927E9"/>
    <w:rsid w:val="00E9504C"/>
    <w:rsid w:val="00EB21EC"/>
    <w:rsid w:val="00EC52B5"/>
    <w:rsid w:val="00EC6676"/>
    <w:rsid w:val="00EF7DC5"/>
    <w:rsid w:val="00F112C0"/>
    <w:rsid w:val="00F270B1"/>
    <w:rsid w:val="00F65291"/>
    <w:rsid w:val="00F76B2C"/>
    <w:rsid w:val="00FA229F"/>
    <w:rsid w:val="00FD0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5F55505"/>
  <w15:chartTrackingRefBased/>
  <w15:docId w15:val="{AB5B9C32-4B2F-4CB6-82A9-E437C286C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3906D7"/>
    <w:pPr>
      <w:keepNext/>
      <w:keepLines/>
      <w:spacing w:before="240"/>
      <w:outlineLvl w:val="0"/>
    </w:pPr>
    <w:rPr>
      <w:rFonts w:eastAsiaTheme="majorEastAsia"/>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4D9E"/>
    <w:pPr>
      <w:tabs>
        <w:tab w:val="center" w:pos="4320"/>
        <w:tab w:val="right" w:pos="8640"/>
      </w:tabs>
    </w:pPr>
  </w:style>
  <w:style w:type="paragraph" w:styleId="Footer">
    <w:name w:val="footer"/>
    <w:basedOn w:val="Normal"/>
    <w:rsid w:val="003D4D9E"/>
    <w:pPr>
      <w:tabs>
        <w:tab w:val="center" w:pos="4320"/>
        <w:tab w:val="right" w:pos="8640"/>
      </w:tabs>
    </w:pPr>
  </w:style>
  <w:style w:type="character" w:styleId="Hyperlink">
    <w:name w:val="Hyperlink"/>
    <w:rsid w:val="00793DDA"/>
    <w:rPr>
      <w:color w:val="0000FF"/>
      <w:u w:val="single"/>
    </w:rPr>
  </w:style>
  <w:style w:type="character" w:styleId="PageNumber">
    <w:name w:val="page number"/>
    <w:basedOn w:val="DefaultParagraphFont"/>
    <w:rsid w:val="00800615"/>
  </w:style>
  <w:style w:type="paragraph" w:styleId="BalloonText">
    <w:name w:val="Balloon Text"/>
    <w:basedOn w:val="Normal"/>
    <w:semiHidden/>
    <w:rsid w:val="001177AF"/>
    <w:rPr>
      <w:rFonts w:ascii="Tahoma" w:hAnsi="Tahoma" w:cs="Tahoma"/>
      <w:sz w:val="16"/>
      <w:szCs w:val="16"/>
    </w:rPr>
  </w:style>
  <w:style w:type="character" w:styleId="FollowedHyperlink">
    <w:name w:val="FollowedHyperlink"/>
    <w:rsid w:val="009F0CEF"/>
    <w:rPr>
      <w:color w:val="800080"/>
      <w:u w:val="single"/>
    </w:rPr>
  </w:style>
  <w:style w:type="paragraph" w:styleId="NoSpacing">
    <w:name w:val="No Spacing"/>
    <w:uiPriority w:val="1"/>
    <w:qFormat/>
    <w:rsid w:val="004C5ABC"/>
    <w:rPr>
      <w:sz w:val="24"/>
      <w:szCs w:val="24"/>
    </w:rPr>
  </w:style>
  <w:style w:type="character" w:styleId="CommentReference">
    <w:name w:val="annotation reference"/>
    <w:rsid w:val="0057066A"/>
    <w:rPr>
      <w:sz w:val="16"/>
      <w:szCs w:val="16"/>
    </w:rPr>
  </w:style>
  <w:style w:type="paragraph" w:styleId="CommentText">
    <w:name w:val="annotation text"/>
    <w:basedOn w:val="Normal"/>
    <w:link w:val="CommentTextChar"/>
    <w:rsid w:val="0057066A"/>
    <w:rPr>
      <w:sz w:val="20"/>
      <w:szCs w:val="20"/>
    </w:rPr>
  </w:style>
  <w:style w:type="character" w:customStyle="1" w:styleId="CommentTextChar">
    <w:name w:val="Comment Text Char"/>
    <w:basedOn w:val="DefaultParagraphFont"/>
    <w:link w:val="CommentText"/>
    <w:rsid w:val="0057066A"/>
  </w:style>
  <w:style w:type="paragraph" w:styleId="CommentSubject">
    <w:name w:val="annotation subject"/>
    <w:basedOn w:val="CommentText"/>
    <w:next w:val="CommentText"/>
    <w:link w:val="CommentSubjectChar"/>
    <w:rsid w:val="00F270B1"/>
    <w:rPr>
      <w:b/>
      <w:bCs/>
    </w:rPr>
  </w:style>
  <w:style w:type="character" w:customStyle="1" w:styleId="CommentSubjectChar">
    <w:name w:val="Comment Subject Char"/>
    <w:link w:val="CommentSubject"/>
    <w:rsid w:val="00F270B1"/>
    <w:rPr>
      <w:b/>
      <w:bCs/>
    </w:rPr>
  </w:style>
  <w:style w:type="paragraph" w:styleId="Caption">
    <w:name w:val="caption"/>
    <w:basedOn w:val="Normal"/>
    <w:next w:val="Normal"/>
    <w:unhideWhenUsed/>
    <w:qFormat/>
    <w:rsid w:val="003906D7"/>
    <w:pPr>
      <w:keepNext/>
      <w:spacing w:after="60"/>
    </w:pPr>
    <w:rPr>
      <w:b/>
      <w:iCs/>
    </w:rPr>
  </w:style>
  <w:style w:type="character" w:customStyle="1" w:styleId="Heading1Char">
    <w:name w:val="Heading 1 Char"/>
    <w:basedOn w:val="DefaultParagraphFont"/>
    <w:link w:val="Heading1"/>
    <w:rsid w:val="003906D7"/>
    <w:rPr>
      <w:rFonts w:eastAsiaTheme="majorEastAsia"/>
      <w:b/>
      <w:sz w:val="28"/>
      <w:szCs w:val="28"/>
    </w:rPr>
  </w:style>
  <w:style w:type="paragraph" w:styleId="FootnoteText">
    <w:name w:val="footnote text"/>
    <w:basedOn w:val="Normal"/>
    <w:link w:val="FootnoteTextChar"/>
    <w:rsid w:val="008A4FF6"/>
    <w:rPr>
      <w:sz w:val="20"/>
      <w:szCs w:val="20"/>
    </w:rPr>
  </w:style>
  <w:style w:type="character" w:customStyle="1" w:styleId="FootnoteTextChar">
    <w:name w:val="Footnote Text Char"/>
    <w:basedOn w:val="DefaultParagraphFont"/>
    <w:link w:val="FootnoteText"/>
    <w:rsid w:val="008A4FF6"/>
  </w:style>
  <w:style w:type="character" w:styleId="FootnoteReference">
    <w:name w:val="footnote reference"/>
    <w:basedOn w:val="DefaultParagraphFont"/>
    <w:rsid w:val="008A4FF6"/>
    <w:rPr>
      <w:vertAlign w:val="superscript"/>
    </w:rPr>
  </w:style>
  <w:style w:type="paragraph" w:styleId="Revision">
    <w:name w:val="Revision"/>
    <w:hidden/>
    <w:uiPriority w:val="99"/>
    <w:semiHidden/>
    <w:rsid w:val="001933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415005">
      <w:bodyDiv w:val="1"/>
      <w:marLeft w:val="0"/>
      <w:marRight w:val="0"/>
      <w:marTop w:val="0"/>
      <w:marBottom w:val="0"/>
      <w:divBdr>
        <w:top w:val="none" w:sz="0" w:space="0" w:color="auto"/>
        <w:left w:val="none" w:sz="0" w:space="0" w:color="auto"/>
        <w:bottom w:val="none" w:sz="0" w:space="0" w:color="auto"/>
        <w:right w:val="none" w:sz="0" w:space="0" w:color="auto"/>
      </w:divBdr>
      <w:divsChild>
        <w:div w:id="1651979260">
          <w:marLeft w:val="0"/>
          <w:marRight w:val="0"/>
          <w:marTop w:val="0"/>
          <w:marBottom w:val="0"/>
          <w:divBdr>
            <w:top w:val="none" w:sz="0" w:space="0" w:color="auto"/>
            <w:left w:val="none" w:sz="0" w:space="0" w:color="auto"/>
            <w:bottom w:val="none" w:sz="0" w:space="0" w:color="auto"/>
            <w:right w:val="none" w:sz="0" w:space="0" w:color="auto"/>
          </w:divBdr>
        </w:div>
        <w:div w:id="1673415952">
          <w:marLeft w:val="0"/>
          <w:marRight w:val="0"/>
          <w:marTop w:val="0"/>
          <w:marBottom w:val="0"/>
          <w:divBdr>
            <w:top w:val="none" w:sz="0" w:space="0" w:color="auto"/>
            <w:left w:val="none" w:sz="0" w:space="0" w:color="auto"/>
            <w:bottom w:val="none" w:sz="0" w:space="0" w:color="auto"/>
            <w:right w:val="none" w:sz="0" w:space="0" w:color="auto"/>
          </w:divBdr>
        </w:div>
        <w:div w:id="1958752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rb.duhs.duke.edu/sites/irb.duhs.duke.edu/files/PROMPT%20REPORTING%20TO%20THE%20IRB_merged%20policy_8-9-2019.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da.gov/regulatory-information/search-fda-guidance-documents/fda-decisions-investigational-device-exemption-clinical-investiga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da.gov/regulatory-information/search-fda-guidance-documents/changes-or-modifications-during-conduct-clinical-investigation-final-guidance-industry-and-cdr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da.gov/medical-devices/investigational-device-exemption-ide/ide-reports" TargetMode="External"/><Relationship Id="rId4" Type="http://schemas.openxmlformats.org/officeDocument/2006/relationships/settings" Target="settings.xml"/><Relationship Id="rId9" Type="http://schemas.openxmlformats.org/officeDocument/2006/relationships/hyperlink" Target="https://www.fda.gov/medical-devices/investigational-device-exemption-ide/ide-tracking-improvemen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C4AFC-B109-471A-BEF1-F396C11E9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1465</Words>
  <Characters>9384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IDE GENERAL INSTRUCTIONS – PROTOCOL AND INFORMATION AMENDMENTS</vt:lpstr>
    </vt:vector>
  </TitlesOfParts>
  <Company>Duke Medical Center</Company>
  <LinksUpToDate>false</LinksUpToDate>
  <CharactersWithSpaces>10828</CharactersWithSpaces>
  <SharedDoc>false</SharedDoc>
  <HLinks>
    <vt:vector size="6" baseType="variant">
      <vt:variant>
        <vt:i4>3211325</vt:i4>
      </vt:variant>
      <vt:variant>
        <vt:i4>0</vt:i4>
      </vt:variant>
      <vt:variant>
        <vt:i4>0</vt:i4>
      </vt:variant>
      <vt:variant>
        <vt:i4>5</vt:i4>
      </vt:variant>
      <vt:variant>
        <vt:lpwstr>https://www.fda.gov/medical-devices/investigational-device-exemption-ide/ide-tracking-improvements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 GENERAL INSTRUCTIONS – PROTOCOL AND INFORMATION AMENDMENTS</dc:title>
  <dc:subject/>
  <dc:creator>Duke ORAQ</dc:creator>
  <cp:keywords/>
  <cp:lastModifiedBy>Kristen Foss, Ph.D.</cp:lastModifiedBy>
  <cp:revision>7</cp:revision>
  <cp:lastPrinted>2009-03-26T20:54:00Z</cp:lastPrinted>
  <dcterms:created xsi:type="dcterms:W3CDTF">2022-05-06T14:21:00Z</dcterms:created>
  <dcterms:modified xsi:type="dcterms:W3CDTF">2022-05-09T17:23:00Z</dcterms:modified>
</cp:coreProperties>
</file>