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9F" w:rsidRPr="004176F3" w:rsidRDefault="004F029F" w:rsidP="004F029F">
      <w:pPr>
        <w:spacing w:after="0" w:line="240" w:lineRule="auto"/>
        <w:rPr>
          <w:rFonts w:ascii="Times New Roman" w:eastAsia="Calibri" w:hAnsi="Times New Roman" w:cs="Times New Roman"/>
          <w:b/>
          <w:iCs/>
        </w:rPr>
      </w:pPr>
      <w:r w:rsidRPr="004176F3">
        <w:rPr>
          <w:rFonts w:ascii="Times New Roman" w:eastAsia="Times New Roman,Calibri" w:hAnsi="Times New Roman" w:cs="Times New Roman"/>
          <w:b/>
          <w:bCs/>
        </w:rPr>
        <w:t>SUPPORTING DOCUMENTATION REQUIRED FOR ELEMENT 12.8</w:t>
      </w:r>
    </w:p>
    <w:p w:rsidR="004F029F" w:rsidRPr="004176F3" w:rsidRDefault="004F029F" w:rsidP="004F029F">
      <w:pPr>
        <w:spacing w:after="0" w:line="240" w:lineRule="auto"/>
        <w:rPr>
          <w:rFonts w:ascii="Times New Roman" w:eastAsia="Calibri" w:hAnsi="Times New Roman" w:cs="Times New Roman"/>
          <w:iCs/>
        </w:rPr>
      </w:pPr>
    </w:p>
    <w:p w:rsidR="004F029F" w:rsidRPr="004176F3" w:rsidRDefault="004F029F" w:rsidP="004F029F">
      <w:pPr>
        <w:numPr>
          <w:ilvl w:val="0"/>
          <w:numId w:val="1"/>
        </w:numPr>
        <w:spacing w:after="0" w:line="240" w:lineRule="auto"/>
        <w:ind w:left="360" w:hanging="450"/>
        <w:rPr>
          <w:rFonts w:ascii="Times New Roman" w:eastAsia="Times New Roman,Calibri" w:hAnsi="Times New Roman" w:cs="Times New Roman"/>
        </w:rPr>
      </w:pPr>
      <w:r w:rsidRPr="004176F3">
        <w:rPr>
          <w:rFonts w:ascii="Times New Roman" w:eastAsia="Times New Roman,Calibri" w:hAnsi="Times New Roman" w:cs="Times New Roman"/>
        </w:rPr>
        <w:t>Relevant policies on medical student exposure to infections and environmental hazards.</w:t>
      </w:r>
    </w:p>
    <w:p w:rsidR="004F029F" w:rsidRPr="004176F3" w:rsidRDefault="004F029F" w:rsidP="004F029F">
      <w:pPr>
        <w:spacing w:after="0" w:line="240" w:lineRule="auto"/>
        <w:rPr>
          <w:rFonts w:ascii="Times New Roman" w:eastAsia="Calibri" w:hAnsi="Times New Roman" w:cs="Times New Roman"/>
          <w:iCs/>
        </w:rPr>
      </w:pPr>
    </w:p>
    <w:p w:rsidR="004F029F" w:rsidRDefault="004F029F" w:rsidP="004F029F">
      <w:pPr>
        <w:spacing w:after="0" w:line="240" w:lineRule="auto"/>
        <w:rPr>
          <w:rFonts w:ascii="Times New Roman" w:eastAsia="Times New Roman,Calibri" w:hAnsi="Times New Roman" w:cs="Times New Roman"/>
          <w:b/>
          <w:bCs/>
          <w:u w:val="single"/>
        </w:rPr>
      </w:pPr>
      <w:r w:rsidRPr="004176F3">
        <w:rPr>
          <w:rFonts w:ascii="Times New Roman" w:eastAsia="Times New Roman,Calibri" w:hAnsi="Times New Roman" w:cs="Times New Roman"/>
          <w:b/>
          <w:bCs/>
          <w:u w:val="single"/>
        </w:rPr>
        <w:t xml:space="preserve">Policy on Medical Student Exposure to Infectious and Environmental Hazards  </w:t>
      </w:r>
    </w:p>
    <w:p w:rsidR="00674654" w:rsidRPr="004176F3" w:rsidRDefault="00674654" w:rsidP="004F029F">
      <w:pPr>
        <w:spacing w:after="0" w:line="240" w:lineRule="auto"/>
        <w:rPr>
          <w:rFonts w:ascii="Times New Roman" w:eastAsia="Calibri" w:hAnsi="Times New Roman" w:cs="Times New Roman"/>
          <w:b/>
          <w:bCs/>
          <w:iCs/>
          <w:u w:val="single"/>
        </w:rPr>
      </w:pPr>
    </w:p>
    <w:p w:rsidR="004F029F" w:rsidRPr="004176F3" w:rsidRDefault="004F029F" w:rsidP="004F029F">
      <w:pPr>
        <w:spacing w:after="0" w:line="240" w:lineRule="auto"/>
        <w:jc w:val="both"/>
        <w:rPr>
          <w:rFonts w:ascii="Times New Roman" w:eastAsia="Calibri" w:hAnsi="Times New Roman" w:cs="Times New Roman"/>
          <w:iCs/>
        </w:rPr>
      </w:pPr>
      <w:r w:rsidRPr="004176F3">
        <w:rPr>
          <w:rFonts w:ascii="Times New Roman" w:eastAsia="Times New Roman,Calibri" w:hAnsi="Times New Roman" w:cs="Times New Roman"/>
        </w:rPr>
        <w:t xml:space="preserve">All students at the Duke University School of Medicine must complete online and classroom training activities regarding personal safety and environmental exposures. Students must complete the following safety modules yearly: </w:t>
      </w:r>
    </w:p>
    <w:p w:rsidR="004F029F" w:rsidRPr="004176F3" w:rsidRDefault="004F029F" w:rsidP="004F029F">
      <w:pPr>
        <w:spacing w:after="0" w:line="240" w:lineRule="auto"/>
        <w:jc w:val="both"/>
        <w:rPr>
          <w:rFonts w:ascii="Times New Roman" w:eastAsia="Calibri" w:hAnsi="Times New Roman" w:cs="Times New Roman"/>
          <w:iCs/>
        </w:rPr>
      </w:pP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-Fire/Life Safety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-OSHA Blood Borne Pathogens (BBP)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-Tuberculosis (TB) Safety Training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-Environment of Care (EOC)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-Hospital Incident Command System (HICS)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-Infection Control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 xml:space="preserve">-Radiation Safety for Ancillary Staff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w:t>
      </w:r>
      <w:proofErr w:type="spellStart"/>
      <w:r w:rsidRPr="004176F3">
        <w:rPr>
          <w:rFonts w:ascii="Times New Roman" w:eastAsia="Times New Roman,Calibri" w:hAnsi="Times New Roman" w:cs="Times New Roman"/>
          <w:color w:val="000000" w:themeColor="text1"/>
        </w:rPr>
        <w:t>iMRI</w:t>
      </w:r>
      <w:proofErr w:type="spellEnd"/>
      <w:r w:rsidRPr="004176F3">
        <w:rPr>
          <w:rFonts w:ascii="Times New Roman" w:eastAsia="Times New Roman,Calibri" w:hAnsi="Times New Roman" w:cs="Times New Roman"/>
          <w:color w:val="000000" w:themeColor="text1"/>
        </w:rPr>
        <w:t xml:space="preserve"> Safety for Perioperative Staff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-Specimen Collection – Beaker Rollout</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-Chemical Safety for Clinicians (once every 5 years)</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In addition, students must attend a mandatory safety training session on preventing needle</w:t>
      </w:r>
      <w:r w:rsidR="00211A09">
        <w:rPr>
          <w:rFonts w:ascii="Times New Roman" w:eastAsia="Times New Roman,Calibri" w:hAnsi="Times New Roman" w:cs="Times New Roman"/>
          <w:color w:val="000000" w:themeColor="text1"/>
        </w:rPr>
        <w:t xml:space="preserve"> </w:t>
      </w:r>
      <w:bookmarkStart w:id="0" w:name="_GoBack"/>
      <w:bookmarkEnd w:id="0"/>
      <w:r w:rsidRPr="004176F3">
        <w:rPr>
          <w:rFonts w:ascii="Times New Roman" w:eastAsia="Times New Roman,Calibri" w:hAnsi="Times New Roman" w:cs="Times New Roman"/>
          <w:color w:val="000000" w:themeColor="text1"/>
        </w:rPr>
        <w:t xml:space="preserve">stick injuries and handling sharps in the Introduction to Clinical Skills Course prior to beginning clinical clerkships, and mandatory scrub training prior to going to the OR. Compliance with these requirements is tracked throughout medical school. </w:t>
      </w: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p>
    <w:p w:rsidR="004F029F" w:rsidRDefault="004F029F" w:rsidP="004F029F">
      <w:pPr>
        <w:spacing w:after="0" w:line="259" w:lineRule="auto"/>
        <w:rPr>
          <w:rFonts w:ascii="Times New Roman" w:eastAsia="Times New Roman,Calibri" w:hAnsi="Times New Roman" w:cs="Times New Roman"/>
        </w:rPr>
      </w:pPr>
      <w:proofErr w:type="gramStart"/>
      <w:r w:rsidRPr="004176F3">
        <w:rPr>
          <w:rFonts w:ascii="Times New Roman" w:eastAsia="Times New Roman,Calibri" w:hAnsi="Times New Roman" w:cs="Times New Roman"/>
          <w:color w:val="000000" w:themeColor="text1"/>
        </w:rPr>
        <w:t>If a student experiences a biological or chemical occupational exposure at Duke or while studying away, s/he must call the</w:t>
      </w:r>
      <w:r w:rsidRPr="005155C1">
        <w:rPr>
          <w:rFonts w:ascii="Times New Roman" w:eastAsia="Times New Roman,Calibri" w:hAnsi="Times New Roman" w:cs="Times New Roman"/>
          <w:color w:val="000000" w:themeColor="text1"/>
        </w:rPr>
        <w:t xml:space="preserve"> </w:t>
      </w:r>
      <w:r>
        <w:rPr>
          <w:rFonts w:ascii="Times New Roman" w:eastAsia="Times New Roman,Calibri" w:hAnsi="Times New Roman" w:cs="Times New Roman"/>
          <w:color w:val="000000" w:themeColor="text1"/>
        </w:rPr>
        <w:t>Duke Employee Occupational Health and Wellness</w:t>
      </w:r>
      <w:r w:rsidRPr="004176F3">
        <w:rPr>
          <w:rFonts w:ascii="Times New Roman" w:eastAsia="Times New Roman,Calibri" w:hAnsi="Times New Roman" w:cs="Times New Roman"/>
          <w:color w:val="000000" w:themeColor="text1"/>
        </w:rPr>
        <w:t xml:space="preserve"> </w:t>
      </w:r>
      <w:r>
        <w:rPr>
          <w:rFonts w:ascii="Times New Roman" w:eastAsia="Times New Roman,Calibri" w:hAnsi="Times New Roman" w:cs="Times New Roman"/>
          <w:color w:val="000000" w:themeColor="text1"/>
        </w:rPr>
        <w:t>(</w:t>
      </w:r>
      <w:r w:rsidRPr="004176F3">
        <w:rPr>
          <w:rFonts w:ascii="Times New Roman" w:eastAsia="Times New Roman,Calibri" w:hAnsi="Times New Roman" w:cs="Times New Roman"/>
          <w:color w:val="000000" w:themeColor="text1"/>
        </w:rPr>
        <w:t>EOHW</w:t>
      </w:r>
      <w:r>
        <w:rPr>
          <w:rFonts w:ascii="Times New Roman" w:eastAsia="Times New Roman,Calibri" w:hAnsi="Times New Roman" w:cs="Times New Roman"/>
          <w:color w:val="000000" w:themeColor="text1"/>
        </w:rPr>
        <w:t>)</w:t>
      </w:r>
      <w:r w:rsidRPr="004176F3">
        <w:rPr>
          <w:rFonts w:ascii="Times New Roman" w:eastAsia="Times New Roman,Calibri" w:hAnsi="Times New Roman" w:cs="Times New Roman"/>
          <w:color w:val="000000" w:themeColor="text1"/>
        </w:rPr>
        <w:t xml:space="preserve"> safety hotline (</w:t>
      </w:r>
      <w:r>
        <w:rPr>
          <w:rFonts w:ascii="Times New Roman" w:eastAsia="Times New Roman,Calibri" w:hAnsi="Times New Roman" w:cs="Times New Roman"/>
          <w:color w:val="000000" w:themeColor="text1"/>
        </w:rPr>
        <w:t xml:space="preserve">available </w:t>
      </w:r>
      <w:r w:rsidRPr="004176F3">
        <w:rPr>
          <w:rFonts w:ascii="Times New Roman" w:eastAsia="Times New Roman,Calibri" w:hAnsi="Times New Roman" w:cs="Times New Roman"/>
          <w:color w:val="000000" w:themeColor="text1"/>
        </w:rPr>
        <w:t>24 hours a day) to report the incident and follow the directions given by the EOHW staff member.</w:t>
      </w:r>
      <w:proofErr w:type="gramEnd"/>
      <w:r w:rsidRPr="004176F3">
        <w:rPr>
          <w:rFonts w:ascii="Times New Roman" w:eastAsia="Times New Roman,Calibri" w:hAnsi="Times New Roman" w:cs="Times New Roman"/>
          <w:color w:val="000000" w:themeColor="text1"/>
        </w:rPr>
        <w:t xml:space="preserve"> All initial costs of laboratory tests for properly reported occupational exposures or injuries are covered by the Student Health Center, and any treatment needed post-exposure or for a clinical condition that develops as a result of the exposure or injury, by the student’s health insurance policy. Students who are potentially exposed to a patient with a communicable illness (e.g. meningitis, hepatitis A) are identified by the Infection Prevention Team, offered preventive medication if indicated, and monitored for the development of illness by Student Health. If a student becomes disabled as the result of an occupational exposure or injury, the Duke Medical Student Disability Policy provides coverage. </w:t>
      </w:r>
      <w:r w:rsidRPr="004176F3">
        <w:rPr>
          <w:rFonts w:ascii="Times New Roman" w:eastAsia="Times New Roman,Calibri" w:hAnsi="Times New Roman" w:cs="Times New Roman"/>
        </w:rPr>
        <w:t>If the student were allowed to be in the clinical setting after the review panel made its decision based on the safety of all involved, but had a disability (e.g. loss of the use of a limb) that could be accommodated, they would apply through the Student Disability Access Office to request appropriate accommodations, and if approved, those would be implemented.</w:t>
      </w:r>
    </w:p>
    <w:p w:rsidR="004F029F" w:rsidRDefault="004F029F" w:rsidP="004F029F">
      <w:pPr>
        <w:spacing w:after="0" w:line="259" w:lineRule="auto"/>
        <w:rPr>
          <w:rFonts w:ascii="Times New Roman" w:eastAsia="Calibri" w:hAnsi="Times New Roman" w:cs="Times New Roman"/>
          <w:iCs/>
        </w:rPr>
      </w:pPr>
    </w:p>
    <w:p w:rsidR="004F029F" w:rsidRPr="004176F3" w:rsidRDefault="004F029F" w:rsidP="004F029F">
      <w:pPr>
        <w:spacing w:after="0" w:line="240" w:lineRule="auto"/>
        <w:rPr>
          <w:rFonts w:ascii="Times New Roman" w:eastAsia="Calibri" w:hAnsi="Times New Roman" w:cs="Times New Roman"/>
          <w:iCs/>
        </w:rPr>
      </w:pPr>
      <w:r w:rsidRPr="004176F3">
        <w:rPr>
          <w:rFonts w:ascii="Times New Roman" w:eastAsia="Times New Roman,Calibri" w:hAnsi="Times New Roman" w:cs="Times New Roman"/>
        </w:rPr>
        <w:t xml:space="preserve">If a student has an infectious disease or is exposed to an infectious disease and must be monitored for a period of time, a review panel is convened that includes an advisory dean, the director or a designee from the SHC, the director of employee/occupational health, an infectious disease expert on the relevant pathogen, and a course director for whose course the student may have restricted activities. If the student has a clinician providing his/her medical care that the student would like to be involved, that person is also included at the student’s request.  The panel may decide that the student should not be in the clinical setting due to risk to self/patients/coworkers, can be in the clinical setting with limited activities (e.g. </w:t>
      </w:r>
      <w:r>
        <w:rPr>
          <w:rFonts w:ascii="Times New Roman" w:eastAsia="Times New Roman,Calibri" w:hAnsi="Times New Roman" w:cs="Times New Roman"/>
        </w:rPr>
        <w:t>can only observe in the OR, can</w:t>
      </w:r>
      <w:r w:rsidRPr="004176F3">
        <w:rPr>
          <w:rFonts w:ascii="Times New Roman" w:eastAsia="Times New Roman,Calibri" w:hAnsi="Times New Roman" w:cs="Times New Roman"/>
        </w:rPr>
        <w:t>not work with pregnant women, etc.), or can be in the clinical setting without restrictions.</w:t>
      </w:r>
    </w:p>
    <w:p w:rsidR="004F029F" w:rsidRPr="004176F3" w:rsidRDefault="004F029F" w:rsidP="004F029F">
      <w:pPr>
        <w:spacing w:after="0" w:line="259" w:lineRule="auto"/>
        <w:rPr>
          <w:rFonts w:ascii="Times New Roman" w:eastAsia="Calibri" w:hAnsi="Times New Roman" w:cs="Times New Roman"/>
          <w:iCs/>
        </w:rPr>
      </w:pPr>
    </w:p>
    <w:p w:rsidR="004F029F" w:rsidRPr="004176F3" w:rsidRDefault="004F029F" w:rsidP="004F029F">
      <w:pPr>
        <w:autoSpaceDE w:val="0"/>
        <w:autoSpaceDN w:val="0"/>
        <w:spacing w:after="0" w:line="240" w:lineRule="auto"/>
        <w:jc w:val="both"/>
        <w:rPr>
          <w:rFonts w:ascii="Times New Roman" w:eastAsia="Calibri" w:hAnsi="Times New Roman" w:cs="Times New Roman"/>
          <w:color w:val="000000"/>
        </w:rPr>
      </w:pPr>
      <w:r w:rsidRPr="004176F3">
        <w:rPr>
          <w:rFonts w:ascii="Times New Roman" w:eastAsia="Times New Roman,Calibri" w:hAnsi="Times New Roman" w:cs="Times New Roman"/>
          <w:color w:val="000000" w:themeColor="text1"/>
        </w:rPr>
        <w:t>Visiting medical students are subject to the same training requirements and have the same support services available in case of an exposure/injury as any enrolled student, and are required to verify that they have medical insurance while studying at Duke.</w:t>
      </w:r>
    </w:p>
    <w:p w:rsidR="004F029F" w:rsidRPr="004176F3" w:rsidRDefault="004F029F" w:rsidP="004F029F">
      <w:pPr>
        <w:spacing w:after="0" w:line="240" w:lineRule="auto"/>
        <w:jc w:val="both"/>
        <w:rPr>
          <w:rFonts w:ascii="Times New Roman" w:eastAsia="Calibri" w:hAnsi="Times New Roman" w:cs="Times New Roman"/>
          <w:iCs/>
        </w:rPr>
      </w:pPr>
    </w:p>
    <w:p w:rsidR="004F029F" w:rsidRPr="004176F3" w:rsidRDefault="004F029F" w:rsidP="004F029F">
      <w:pPr>
        <w:spacing w:after="0" w:line="240" w:lineRule="auto"/>
        <w:rPr>
          <w:rFonts w:ascii="Times New Roman" w:eastAsia="Calibri" w:hAnsi="Times New Roman" w:cs="Times New Roman"/>
          <w:iCs/>
        </w:rPr>
      </w:pPr>
      <w:r w:rsidRPr="004176F3">
        <w:rPr>
          <w:rFonts w:ascii="Times New Roman" w:eastAsia="Calibri" w:hAnsi="Times New Roman" w:cs="Times New Roman"/>
          <w:iCs/>
        </w:rPr>
        <w:br/>
      </w:r>
    </w:p>
    <w:p w:rsidR="004F029F" w:rsidRPr="004176F3" w:rsidRDefault="004F029F" w:rsidP="004F029F">
      <w:pPr>
        <w:numPr>
          <w:ilvl w:val="0"/>
          <w:numId w:val="1"/>
        </w:numPr>
        <w:spacing w:after="0" w:line="259" w:lineRule="auto"/>
        <w:ind w:left="360" w:hanging="450"/>
        <w:rPr>
          <w:rFonts w:ascii="Times New Roman" w:eastAsia="Times New Roman,Calibri" w:hAnsi="Times New Roman" w:cs="Times New Roman"/>
        </w:rPr>
      </w:pPr>
      <w:r w:rsidRPr="004176F3">
        <w:rPr>
          <w:rFonts w:ascii="Times New Roman" w:eastAsia="Times New Roman,Calibri" w:hAnsi="Times New Roman" w:cs="Times New Roman"/>
        </w:rPr>
        <w:t>Policies related to the implications of infectious and/or environmental disease or disability on medical student educational activities.</w:t>
      </w:r>
    </w:p>
    <w:p w:rsidR="004F029F" w:rsidRPr="004176F3" w:rsidRDefault="004F029F" w:rsidP="004F029F">
      <w:pPr>
        <w:spacing w:after="0" w:line="259" w:lineRule="auto"/>
        <w:rPr>
          <w:rFonts w:ascii="Times New Roman" w:eastAsia="Calibri" w:hAnsi="Times New Roman" w:cs="Times New Roman"/>
          <w:iCs/>
        </w:rPr>
      </w:pPr>
    </w:p>
    <w:p w:rsidR="004F029F" w:rsidRPr="004176F3" w:rsidRDefault="004F029F" w:rsidP="004F029F">
      <w:pPr>
        <w:spacing w:after="0" w:line="259" w:lineRule="auto"/>
        <w:rPr>
          <w:rFonts w:ascii="Times New Roman" w:eastAsia="Calibri" w:hAnsi="Times New Roman" w:cs="Times New Roman"/>
          <w:iCs/>
        </w:rPr>
      </w:pPr>
      <w:proofErr w:type="gramStart"/>
      <w:r>
        <w:rPr>
          <w:rFonts w:ascii="Times New Roman" w:eastAsia="Times New Roman,Calibri" w:hAnsi="Times New Roman" w:cs="Times New Roman"/>
        </w:rPr>
        <w:t>Included in the policy above.</w:t>
      </w:r>
      <w:proofErr w:type="gramEnd"/>
    </w:p>
    <w:p w:rsidR="00C21965" w:rsidRDefault="00211A09"/>
    <w:sectPr w:rsidR="00C2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0459"/>
    <w:multiLevelType w:val="hybridMultilevel"/>
    <w:tmpl w:val="FE5EE1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9F"/>
    <w:rsid w:val="00211A09"/>
    <w:rsid w:val="004F029F"/>
    <w:rsid w:val="00674654"/>
    <w:rsid w:val="00B3548D"/>
    <w:rsid w:val="00BA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Grochowski, Ph.D.</dc:creator>
  <cp:lastModifiedBy>Marcie Ellis</cp:lastModifiedBy>
  <cp:revision>2</cp:revision>
  <dcterms:created xsi:type="dcterms:W3CDTF">2016-07-11T17:43:00Z</dcterms:created>
  <dcterms:modified xsi:type="dcterms:W3CDTF">2016-07-11T17:43:00Z</dcterms:modified>
</cp:coreProperties>
</file>