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412" w:rsidRPr="009E4412" w:rsidRDefault="0073590F" w:rsidP="0073590F">
      <w:pPr>
        <w:pStyle w:val="Heading1"/>
        <w:jc w:val="center"/>
        <w:rPr>
          <w:rFonts w:asciiTheme="minorHAnsi" w:hAnsiTheme="minorHAnsi" w:cstheme="minorHAnsi"/>
          <w:sz w:val="28"/>
          <w:szCs w:val="28"/>
        </w:rPr>
      </w:pPr>
      <w:bookmarkStart w:id="0" w:name="_Toc466364951"/>
      <w:r>
        <w:rPr>
          <w:rFonts w:asciiTheme="minorHAnsi" w:hAnsiTheme="minorHAnsi" w:cstheme="minorHAnsi"/>
          <w:sz w:val="28"/>
          <w:szCs w:val="28"/>
        </w:rPr>
        <w:t xml:space="preserve">Duke University School of Medicine </w:t>
      </w:r>
      <w:r w:rsidR="009E4412" w:rsidRPr="009E4412">
        <w:rPr>
          <w:rFonts w:asciiTheme="minorHAnsi" w:hAnsiTheme="minorHAnsi" w:cstheme="minorHAnsi"/>
          <w:sz w:val="28"/>
          <w:szCs w:val="28"/>
        </w:rPr>
        <w:t>Policies</w:t>
      </w:r>
    </w:p>
    <w:p w:rsidR="00B42BDD" w:rsidRPr="00B42BDD" w:rsidRDefault="00612475" w:rsidP="00F92DD0">
      <w:pPr>
        <w:pStyle w:val="Heading1"/>
        <w:rPr>
          <w:rFonts w:asciiTheme="minorHAnsi" w:hAnsiTheme="minorHAnsi" w:cstheme="minorHAnsi"/>
          <w:b w:val="0"/>
          <w:i/>
          <w:sz w:val="22"/>
          <w:szCs w:val="22"/>
        </w:rPr>
      </w:pPr>
      <w:r w:rsidRPr="00105708">
        <w:rPr>
          <w:rFonts w:asciiTheme="minorHAnsi" w:hAnsiTheme="minorHAnsi" w:cstheme="minorHAnsi"/>
          <w:b w:val="0"/>
          <w:i/>
          <w:sz w:val="22"/>
          <w:szCs w:val="22"/>
        </w:rPr>
        <w:t xml:space="preserve">Below are School of Medicine Policies.  </w:t>
      </w:r>
      <w:r w:rsidR="0073590F">
        <w:rPr>
          <w:rFonts w:asciiTheme="minorHAnsi" w:hAnsiTheme="minorHAnsi" w:cstheme="minorHAnsi"/>
          <w:b w:val="0"/>
          <w:i/>
          <w:sz w:val="22"/>
          <w:szCs w:val="22"/>
        </w:rPr>
        <w:t>In most</w:t>
      </w:r>
      <w:r w:rsidR="0005435E">
        <w:rPr>
          <w:rFonts w:asciiTheme="minorHAnsi" w:hAnsiTheme="minorHAnsi" w:cstheme="minorHAnsi"/>
          <w:b w:val="0"/>
          <w:i/>
          <w:sz w:val="22"/>
          <w:szCs w:val="22"/>
        </w:rPr>
        <w:t xml:space="preserve"> cases these are abbreviated version. </w:t>
      </w:r>
      <w:r w:rsidR="0073590F">
        <w:rPr>
          <w:rFonts w:asciiTheme="minorHAnsi" w:hAnsiTheme="minorHAnsi" w:cstheme="minorHAnsi"/>
          <w:b w:val="0"/>
          <w:i/>
          <w:sz w:val="22"/>
          <w:szCs w:val="22"/>
        </w:rPr>
        <w:t xml:space="preserve"> </w:t>
      </w:r>
      <w:r w:rsidR="00F53CF8">
        <w:rPr>
          <w:rFonts w:asciiTheme="minorHAnsi" w:hAnsiTheme="minorHAnsi" w:cstheme="minorHAnsi"/>
          <w:b w:val="0"/>
          <w:i/>
          <w:sz w:val="22"/>
          <w:szCs w:val="22"/>
        </w:rPr>
        <w:t>In these cases, c</w:t>
      </w:r>
      <w:r w:rsidRPr="00105708">
        <w:rPr>
          <w:rFonts w:asciiTheme="minorHAnsi" w:hAnsiTheme="minorHAnsi" w:cstheme="minorHAnsi"/>
          <w:b w:val="0"/>
          <w:i/>
          <w:sz w:val="22"/>
          <w:szCs w:val="22"/>
        </w:rPr>
        <w:t xml:space="preserve">lick on the title </w:t>
      </w:r>
      <w:r w:rsidR="00166ED5">
        <w:rPr>
          <w:rFonts w:asciiTheme="minorHAnsi" w:hAnsiTheme="minorHAnsi" w:cstheme="minorHAnsi"/>
          <w:b w:val="0"/>
          <w:i/>
          <w:sz w:val="22"/>
          <w:szCs w:val="22"/>
        </w:rPr>
        <w:t xml:space="preserve">or embedded link </w:t>
      </w:r>
      <w:r w:rsidRPr="00105708">
        <w:rPr>
          <w:rFonts w:asciiTheme="minorHAnsi" w:hAnsiTheme="minorHAnsi" w:cstheme="minorHAnsi"/>
          <w:b w:val="0"/>
          <w:i/>
          <w:sz w:val="22"/>
          <w:szCs w:val="22"/>
        </w:rPr>
        <w:t>for more a more comprehensive description of th</w:t>
      </w:r>
      <w:r w:rsidR="00166ED5">
        <w:rPr>
          <w:rFonts w:asciiTheme="minorHAnsi" w:hAnsiTheme="minorHAnsi" w:cstheme="minorHAnsi"/>
          <w:b w:val="0"/>
          <w:i/>
          <w:sz w:val="22"/>
          <w:szCs w:val="22"/>
        </w:rPr>
        <w:t>e policy found online</w:t>
      </w:r>
      <w:r w:rsidR="0005435E">
        <w:rPr>
          <w:rFonts w:asciiTheme="minorHAnsi" w:hAnsiTheme="minorHAnsi" w:cstheme="minorHAnsi"/>
          <w:b w:val="0"/>
          <w:i/>
          <w:sz w:val="22"/>
          <w:szCs w:val="22"/>
        </w:rPr>
        <w:t>.</w:t>
      </w:r>
      <w:r w:rsidR="00F53CF8">
        <w:rPr>
          <w:rFonts w:asciiTheme="minorHAnsi" w:hAnsiTheme="minorHAnsi" w:cstheme="minorHAnsi"/>
          <w:b w:val="0"/>
          <w:i/>
          <w:sz w:val="22"/>
          <w:szCs w:val="22"/>
        </w:rPr>
        <w:t xml:space="preserve">  Those without links are the complete policy.</w:t>
      </w:r>
    </w:p>
    <w:p w:rsidR="00F92DD0" w:rsidRPr="00612475" w:rsidRDefault="00DA5CE8" w:rsidP="00F92DD0">
      <w:pPr>
        <w:pStyle w:val="Heading1"/>
        <w:rPr>
          <w:rFonts w:asciiTheme="minorHAnsi" w:hAnsiTheme="minorHAnsi" w:cstheme="minorHAnsi"/>
          <w:sz w:val="22"/>
          <w:szCs w:val="22"/>
        </w:rPr>
      </w:pPr>
      <w:hyperlink r:id="rId5" w:history="1">
        <w:r w:rsidR="00F92DD0" w:rsidRPr="0005435E">
          <w:rPr>
            <w:rStyle w:val="Hyperlink"/>
            <w:rFonts w:asciiTheme="minorHAnsi" w:hAnsiTheme="minorHAnsi" w:cstheme="minorHAnsi"/>
            <w:sz w:val="22"/>
            <w:szCs w:val="22"/>
          </w:rPr>
          <w:t>Appropriate Treatment of Learners at Duke University School of Medicine</w:t>
        </w:r>
        <w:bookmarkEnd w:id="0"/>
      </w:hyperlink>
      <w:r w:rsidR="00F92DD0" w:rsidRPr="00612475">
        <w:rPr>
          <w:rFonts w:asciiTheme="minorHAnsi" w:hAnsiTheme="minorHAnsi" w:cstheme="minorHAnsi"/>
          <w:sz w:val="22"/>
          <w:szCs w:val="22"/>
        </w:rPr>
        <w:br/>
      </w:r>
    </w:p>
    <w:p w:rsidR="008A0AC6" w:rsidRDefault="00F92DD0" w:rsidP="0056181A">
      <w:pPr>
        <w:pStyle w:val="SupportingDocumentationBulletedList"/>
        <w:spacing w:after="200"/>
        <w:ind w:left="720"/>
        <w:rPr>
          <w:rFonts w:asciiTheme="minorHAnsi" w:hAnsiTheme="minorHAnsi" w:cstheme="minorHAnsi"/>
          <w:sz w:val="22"/>
        </w:rPr>
      </w:pPr>
      <w:r w:rsidRPr="00612475">
        <w:rPr>
          <w:rFonts w:asciiTheme="minorHAnsi" w:hAnsiTheme="minorHAnsi" w:cstheme="minorHAnsi"/>
          <w:sz w:val="22"/>
        </w:rPr>
        <w:t xml:space="preserve">Duke University School of Medicine (SOM) is committed to creating and maintaining a positive learning environment for learners that is respectful and appropriately attentive to their learning needs and free from conduct by teachers that could be interpreted by learners as mistreatment. Behavior that violates this stated expectation will be investigated, and if found to represent mistreatment, may become the subject of disciplinary action by the SOM.  </w:t>
      </w:r>
    </w:p>
    <w:bookmarkStart w:id="1" w:name="_Toc466364961"/>
    <w:p w:rsidR="003E215E" w:rsidRPr="001E6DE9" w:rsidRDefault="001E6DE9" w:rsidP="003E215E">
      <w:pPr>
        <w:pStyle w:val="Heading1"/>
        <w:rPr>
          <w:rStyle w:val="Hyperlink"/>
          <w:rFonts w:asciiTheme="minorHAnsi" w:hAnsiTheme="minorHAnsi" w:cstheme="minorHAnsi"/>
          <w:sz w:val="22"/>
          <w:szCs w:val="22"/>
        </w:rPr>
      </w:pPr>
      <w:r>
        <w:rPr>
          <w:rFonts w:asciiTheme="minorHAnsi" w:hAnsiTheme="minorHAnsi" w:cstheme="minorHAnsi"/>
          <w:sz w:val="22"/>
          <w:szCs w:val="22"/>
        </w:rPr>
        <w:fldChar w:fldCharType="begin"/>
      </w:r>
      <w:r w:rsidR="00593EF4">
        <w:rPr>
          <w:rFonts w:asciiTheme="minorHAnsi" w:hAnsiTheme="minorHAnsi" w:cstheme="minorHAnsi"/>
          <w:sz w:val="22"/>
          <w:szCs w:val="22"/>
        </w:rPr>
        <w:instrText>HYPERLINK "https://registrar.duke.edu/sites/default/files/bulletins/medical/2018-19/36/index.html"</w:instrText>
      </w:r>
      <w:r>
        <w:rPr>
          <w:rFonts w:asciiTheme="minorHAnsi" w:hAnsiTheme="minorHAnsi" w:cstheme="minorHAnsi"/>
          <w:sz w:val="22"/>
          <w:szCs w:val="22"/>
        </w:rPr>
        <w:fldChar w:fldCharType="separate"/>
      </w:r>
      <w:r w:rsidR="003E215E" w:rsidRPr="001E6DE9">
        <w:rPr>
          <w:rStyle w:val="Hyperlink"/>
          <w:rFonts w:asciiTheme="minorHAnsi" w:hAnsiTheme="minorHAnsi" w:cstheme="minorHAnsi"/>
          <w:sz w:val="22"/>
          <w:szCs w:val="22"/>
        </w:rPr>
        <w:t xml:space="preserve"> Clinical Activities by and Supervision of Medical Students</w:t>
      </w:r>
      <w:bookmarkEnd w:id="1"/>
    </w:p>
    <w:p w:rsidR="003E215E" w:rsidRPr="00612475" w:rsidRDefault="001E6DE9" w:rsidP="003E215E">
      <w:pPr>
        <w:ind w:left="720"/>
        <w:rPr>
          <w:rFonts w:cstheme="minorHAnsi"/>
        </w:rPr>
      </w:pPr>
      <w:r>
        <w:rPr>
          <w:rFonts w:eastAsiaTheme="majorEastAsia" w:cstheme="minorHAnsi"/>
          <w:b/>
          <w:iCs/>
          <w:color w:val="000000" w:themeColor="text1"/>
        </w:rPr>
        <w:fldChar w:fldCharType="end"/>
      </w:r>
      <w:r w:rsidR="003E215E" w:rsidRPr="00612475">
        <w:rPr>
          <w:rFonts w:cstheme="minorHAnsi"/>
          <w:iCs/>
        </w:rPr>
        <w:br/>
      </w:r>
      <w:r w:rsidR="003E215E" w:rsidRPr="00612475">
        <w:rPr>
          <w:rFonts w:cstheme="minorHAnsi"/>
        </w:rPr>
        <w:t xml:space="preserve">All patient care provided by medical students is provided under the supervision of a licensed health care provider performing activities within the scope of the health care provider’s practice.  An on-site licensed health care provider </w:t>
      </w:r>
      <w:r w:rsidR="00CD61D6">
        <w:rPr>
          <w:rFonts w:cstheme="minorHAnsi"/>
        </w:rPr>
        <w:t>must</w:t>
      </w:r>
      <w:r w:rsidR="003E215E" w:rsidRPr="00612475">
        <w:rPr>
          <w:rFonts w:cstheme="minorHAnsi"/>
        </w:rPr>
        <w:t xml:space="preserve"> always immediately available. </w:t>
      </w:r>
    </w:p>
    <w:bookmarkStart w:id="2" w:name="_Toc466364952"/>
    <w:p w:rsidR="003E215E" w:rsidRPr="001E6DE9" w:rsidRDefault="001E6DE9" w:rsidP="003E215E">
      <w:pPr>
        <w:pStyle w:val="SupportingDocumentationBulletedList"/>
        <w:spacing w:after="200"/>
        <w:rPr>
          <w:rStyle w:val="Hyperlink"/>
          <w:rFonts w:asciiTheme="minorHAnsi" w:hAnsiTheme="minorHAnsi" w:cstheme="minorHAnsi"/>
          <w:b/>
          <w:sz w:val="22"/>
        </w:rPr>
      </w:pPr>
      <w:r>
        <w:rPr>
          <w:rFonts w:asciiTheme="minorHAnsi" w:hAnsiTheme="minorHAnsi" w:cstheme="minorHAnsi"/>
          <w:b/>
          <w:sz w:val="22"/>
          <w:u w:val="single"/>
        </w:rPr>
        <w:fldChar w:fldCharType="begin"/>
      </w:r>
      <w:r w:rsidR="00593EF4">
        <w:rPr>
          <w:rFonts w:asciiTheme="minorHAnsi" w:hAnsiTheme="minorHAnsi" w:cstheme="minorHAnsi"/>
          <w:b/>
          <w:sz w:val="22"/>
          <w:u w:val="single"/>
        </w:rPr>
        <w:instrText>HYPERLINK "https://registrar.duke.edu/sites/default/files/bulletins/medical/2018-19/46/index.html"</w:instrText>
      </w:r>
      <w:r>
        <w:rPr>
          <w:rFonts w:asciiTheme="minorHAnsi" w:hAnsiTheme="minorHAnsi" w:cstheme="minorHAnsi"/>
          <w:b/>
          <w:sz w:val="22"/>
          <w:u w:val="single"/>
        </w:rPr>
        <w:fldChar w:fldCharType="separate"/>
      </w:r>
      <w:r w:rsidR="00114B11" w:rsidRPr="001E6DE9">
        <w:rPr>
          <w:rStyle w:val="Hyperlink"/>
          <w:rFonts w:asciiTheme="minorHAnsi" w:hAnsiTheme="minorHAnsi" w:cstheme="minorHAnsi"/>
          <w:b/>
          <w:sz w:val="22"/>
        </w:rPr>
        <w:t>Code of P</w:t>
      </w:r>
      <w:r w:rsidR="001E7EB1">
        <w:rPr>
          <w:rStyle w:val="Hyperlink"/>
          <w:rFonts w:asciiTheme="minorHAnsi" w:hAnsiTheme="minorHAnsi" w:cstheme="minorHAnsi"/>
          <w:b/>
          <w:sz w:val="22"/>
        </w:rPr>
        <w:t>rofessional Conduct</w:t>
      </w:r>
    </w:p>
    <w:p w:rsidR="00F601C7" w:rsidRDefault="001E6DE9" w:rsidP="0056181A">
      <w:pPr>
        <w:pStyle w:val="Heading1"/>
        <w:ind w:left="720"/>
        <w:rPr>
          <w:rFonts w:asciiTheme="minorHAnsi" w:hAnsiTheme="minorHAnsi" w:cstheme="minorHAnsi"/>
          <w:b w:val="0"/>
          <w:sz w:val="22"/>
        </w:rPr>
      </w:pPr>
      <w:r>
        <w:rPr>
          <w:rFonts w:asciiTheme="minorHAnsi" w:eastAsia="Calibri" w:hAnsiTheme="minorHAnsi" w:cstheme="minorHAnsi"/>
          <w:color w:val="auto"/>
          <w:sz w:val="22"/>
          <w:szCs w:val="22"/>
          <w:u w:val="single"/>
        </w:rPr>
        <w:fldChar w:fldCharType="end"/>
      </w:r>
      <w:r w:rsidR="003E215E" w:rsidRPr="003E215E">
        <w:rPr>
          <w:rFonts w:asciiTheme="minorHAnsi" w:hAnsiTheme="minorHAnsi" w:cstheme="minorHAnsi"/>
          <w:b w:val="0"/>
          <w:sz w:val="22"/>
        </w:rPr>
        <w:t>The Duke University SOM strives to educate health professional students who have a high capacity for ethical professional behavior.  These standards closely follow those established and expected for the medical profession for which the student is training and are intended to serve as a precursor to future professional expectations.</w:t>
      </w:r>
    </w:p>
    <w:p w:rsidR="0056181A" w:rsidRPr="0056181A" w:rsidRDefault="0056181A" w:rsidP="0056181A"/>
    <w:p w:rsidR="00F601C7" w:rsidRDefault="0056181A" w:rsidP="00F601C7">
      <w:hyperlink r:id="rId6" w:history="1">
        <w:r w:rsidR="00F601C7" w:rsidRPr="0056181A">
          <w:rPr>
            <w:rStyle w:val="Hyperlink"/>
            <w:b/>
          </w:rPr>
          <w:t xml:space="preserve">Consensual Romantic or Sexual Relationships between Faculty and [Graduate] Students </w:t>
        </w:r>
        <w:r w:rsidR="00F601C7" w:rsidRPr="0056181A">
          <w:rPr>
            <w:rStyle w:val="Hyperlink"/>
            <w:b/>
            <w:i/>
          </w:rPr>
          <w:t>(</w:t>
        </w:r>
      </w:hyperlink>
      <w:r w:rsidR="00F601C7" w:rsidRPr="00F601C7">
        <w:rPr>
          <w:i/>
        </w:rPr>
        <w:t xml:space="preserve">A University policy) </w:t>
      </w:r>
    </w:p>
    <w:p w:rsidR="00F601C7" w:rsidRDefault="00F601C7" w:rsidP="00F601C7">
      <w:pPr>
        <w:ind w:left="720"/>
      </w:pPr>
      <w:r>
        <w:t xml:space="preserve">Consensual romantic or sexual relationships between faculty members and graduate students are prohibited except under the following circumstances: </w:t>
      </w:r>
    </w:p>
    <w:p w:rsidR="00F601C7" w:rsidRDefault="00F601C7" w:rsidP="00F601C7">
      <w:pPr>
        <w:ind w:left="1440"/>
      </w:pPr>
      <w:r>
        <w:t xml:space="preserve">(a) </w:t>
      </w:r>
      <w:proofErr w:type="gramStart"/>
      <w:r>
        <w:t>the</w:t>
      </w:r>
      <w:proofErr w:type="gramEnd"/>
      <w:r>
        <w:t xml:space="preserve"> faculty member has no current role, and is not expected to have any role in the future teaching, supervising, mentoring, or evaluating the student and the faculty member and graduate student are in different schools; </w:t>
      </w:r>
    </w:p>
    <w:p w:rsidR="00F601C7" w:rsidRPr="00F601C7" w:rsidRDefault="00F601C7" w:rsidP="00F601C7">
      <w:pPr>
        <w:ind w:left="1440"/>
      </w:pPr>
      <w:r>
        <w:t>(b) if the faculty member and the graduate student are in the same school: (i) the faculty member has no current role, and is not expected to have any role in the future teaching, supervising, mentoring, or evaluating the student; and (ii) the faculty member reports the relationship in writing immediately to the relevant Dean, with copy to the Institutional Ethics and Compliance Program, and represents to the Dean that there are no reasons that require prohibiting the relationship.</w:t>
      </w:r>
    </w:p>
    <w:bookmarkStart w:id="3" w:name="_Toc466364959"/>
    <w:p w:rsidR="003E215E" w:rsidRPr="001E6DE9" w:rsidRDefault="001E6DE9" w:rsidP="003E215E">
      <w:pPr>
        <w:pStyle w:val="Heading1"/>
        <w:rPr>
          <w:rStyle w:val="Hyperlink"/>
          <w:rFonts w:asciiTheme="minorHAnsi" w:hAnsiTheme="minorHAnsi" w:cstheme="minorHAnsi"/>
          <w:sz w:val="22"/>
          <w:szCs w:val="22"/>
        </w:rPr>
      </w:pPr>
      <w:r>
        <w:rPr>
          <w:rFonts w:asciiTheme="minorHAnsi" w:hAnsiTheme="minorHAnsi" w:cstheme="minorHAnsi"/>
          <w:sz w:val="22"/>
          <w:szCs w:val="22"/>
        </w:rPr>
        <w:fldChar w:fldCharType="begin"/>
      </w:r>
      <w:r w:rsidR="00593EF4">
        <w:rPr>
          <w:rFonts w:asciiTheme="minorHAnsi" w:hAnsiTheme="minorHAnsi" w:cstheme="minorHAnsi"/>
          <w:sz w:val="22"/>
          <w:szCs w:val="22"/>
        </w:rPr>
        <w:instrText>HYPERLINK "https://registrar.duke.edu/sites/default/files/bulletins/medical/2018-19/36/index.html"</w:instrText>
      </w:r>
      <w:r>
        <w:rPr>
          <w:rFonts w:asciiTheme="minorHAnsi" w:hAnsiTheme="minorHAnsi" w:cstheme="minorHAnsi"/>
          <w:sz w:val="22"/>
          <w:szCs w:val="22"/>
        </w:rPr>
        <w:fldChar w:fldCharType="separate"/>
      </w:r>
      <w:r w:rsidR="003E215E" w:rsidRPr="001E6DE9">
        <w:rPr>
          <w:rStyle w:val="Hyperlink"/>
          <w:rFonts w:asciiTheme="minorHAnsi" w:hAnsiTheme="minorHAnsi" w:cstheme="minorHAnsi"/>
          <w:sz w:val="22"/>
          <w:szCs w:val="22"/>
        </w:rPr>
        <w:t>Duty</w:t>
      </w:r>
      <w:r w:rsidR="003E215E" w:rsidRPr="001E6DE9">
        <w:rPr>
          <w:rStyle w:val="Hyperlink"/>
          <w:rFonts w:asciiTheme="minorHAnsi" w:hAnsiTheme="minorHAnsi" w:cstheme="minorHAnsi"/>
          <w:sz w:val="22"/>
          <w:szCs w:val="22"/>
        </w:rPr>
        <w:t xml:space="preserve"> </w:t>
      </w:r>
      <w:r w:rsidR="003E215E" w:rsidRPr="001E6DE9">
        <w:rPr>
          <w:rStyle w:val="Hyperlink"/>
          <w:rFonts w:asciiTheme="minorHAnsi" w:hAnsiTheme="minorHAnsi" w:cstheme="minorHAnsi"/>
          <w:sz w:val="22"/>
          <w:szCs w:val="22"/>
        </w:rPr>
        <w:t xml:space="preserve">Hours </w:t>
      </w:r>
      <w:bookmarkEnd w:id="3"/>
    </w:p>
    <w:p w:rsidR="003E215E" w:rsidRDefault="001E6DE9" w:rsidP="003E215E">
      <w:pPr>
        <w:ind w:left="720"/>
        <w:rPr>
          <w:rFonts w:cstheme="minorHAnsi"/>
        </w:rPr>
      </w:pPr>
      <w:r>
        <w:rPr>
          <w:rFonts w:eastAsiaTheme="majorEastAsia" w:cstheme="minorHAnsi"/>
          <w:b/>
          <w:iCs/>
          <w:color w:val="000000" w:themeColor="text1"/>
        </w:rPr>
        <w:fldChar w:fldCharType="end"/>
      </w:r>
      <w:r w:rsidR="003E215E" w:rsidRPr="00612475">
        <w:rPr>
          <w:rFonts w:cstheme="minorHAnsi"/>
          <w:iCs/>
        </w:rPr>
        <w:br/>
      </w:r>
      <w:r w:rsidR="003E215E" w:rsidRPr="00612475">
        <w:rPr>
          <w:rFonts w:cstheme="minorHAnsi"/>
        </w:rPr>
        <w:t xml:space="preserve">Students will be expected to be on-site on any clinical service no more than eighty hours per week, averaged over a two-week period during second year clerkships and a four-week period during fourth-year courses.   Students will have one full day completely free of curricular or patient-care responsibilities in the hospital or clinic per week, averaged over a two-week period during second-year clerkships and over a four-week period </w:t>
      </w:r>
      <w:r w:rsidR="003E215E" w:rsidRPr="00612475">
        <w:rPr>
          <w:rFonts w:cstheme="minorHAnsi"/>
        </w:rPr>
        <w:lastRenderedPageBreak/>
        <w:t xml:space="preserve">during fourth-year courses.  Students will not be expected to be in the hospital or clinic setting for </w:t>
      </w:r>
      <w:r>
        <w:rPr>
          <w:rFonts w:cstheme="minorHAnsi"/>
        </w:rPr>
        <w:t xml:space="preserve">more than 30 consecutive hours </w:t>
      </w:r>
      <w:r w:rsidR="003E215E" w:rsidRPr="00612475">
        <w:rPr>
          <w:rFonts w:cstheme="minorHAnsi"/>
        </w:rPr>
        <w:t>including hours spent sleeping while on call if less than four hours.</w:t>
      </w:r>
    </w:p>
    <w:p w:rsidR="0024007B" w:rsidRPr="001E6DE9" w:rsidRDefault="001E6DE9" w:rsidP="0024007B">
      <w:pPr>
        <w:rPr>
          <w:rStyle w:val="Hyperlink"/>
          <w:rFonts w:cstheme="minorHAnsi"/>
          <w:b/>
        </w:rPr>
      </w:pPr>
      <w:r w:rsidRPr="001E6DE9">
        <w:rPr>
          <w:b/>
        </w:rPr>
        <w:fldChar w:fldCharType="begin"/>
      </w:r>
      <w:r w:rsidR="00593EF4">
        <w:rPr>
          <w:b/>
        </w:rPr>
        <w:instrText>HYPERLINK "https://registrar.duke.edu/sites/default/files/bulletins/medical/2018-19/56/index.html"</w:instrText>
      </w:r>
      <w:r w:rsidRPr="001E6DE9">
        <w:rPr>
          <w:b/>
        </w:rPr>
        <w:fldChar w:fldCharType="separate"/>
      </w:r>
      <w:r w:rsidRPr="001E6DE9">
        <w:rPr>
          <w:rStyle w:val="Hyperlink"/>
          <w:b/>
        </w:rPr>
        <w:t>Clinica</w:t>
      </w:r>
      <w:r w:rsidRPr="001E6DE9">
        <w:rPr>
          <w:rStyle w:val="Hyperlink"/>
          <w:b/>
        </w:rPr>
        <w:t>l</w:t>
      </w:r>
      <w:r w:rsidRPr="001E6DE9">
        <w:rPr>
          <w:rStyle w:val="Hyperlink"/>
          <w:b/>
        </w:rPr>
        <w:t xml:space="preserve"> </w:t>
      </w:r>
      <w:r w:rsidR="0024007B" w:rsidRPr="001E6DE9">
        <w:rPr>
          <w:rStyle w:val="Hyperlink"/>
          <w:rFonts w:cstheme="minorHAnsi"/>
          <w:b/>
        </w:rPr>
        <w:t>Electives</w:t>
      </w:r>
    </w:p>
    <w:p w:rsidR="0024007B" w:rsidRDefault="001E6DE9" w:rsidP="0024007B">
      <w:pPr>
        <w:ind w:left="720"/>
      </w:pPr>
      <w:r w:rsidRPr="001E6DE9">
        <w:rPr>
          <w:b/>
        </w:rPr>
        <w:fldChar w:fldCharType="end"/>
      </w:r>
      <w:r w:rsidR="0024007B" w:rsidRPr="00650E9C">
        <w:t>Students cannot take for “graduation credit” more than three electives in a given subspecialty field. For example, a stude</w:t>
      </w:r>
      <w:r w:rsidR="00975F88">
        <w:t xml:space="preserve">nt intending to match in </w:t>
      </w:r>
      <w:proofErr w:type="spellStart"/>
      <w:r w:rsidR="00975F88">
        <w:t>orthopa</w:t>
      </w:r>
      <w:r w:rsidR="00796695">
        <w:t>e</w:t>
      </w:r>
      <w:r w:rsidR="0024007B" w:rsidRPr="00650E9C">
        <w:t>dic</w:t>
      </w:r>
      <w:proofErr w:type="spellEnd"/>
      <w:r w:rsidR="0024007B" w:rsidRPr="00650E9C">
        <w:t xml:space="preserve"> surgery can do two </w:t>
      </w:r>
      <w:proofErr w:type="spellStart"/>
      <w:r w:rsidR="0024007B" w:rsidRPr="00650E9C">
        <w:t>orthopaedic</w:t>
      </w:r>
      <w:r w:rsidR="00796695">
        <w:t>s</w:t>
      </w:r>
      <w:proofErr w:type="spellEnd"/>
      <w:r w:rsidR="00796695">
        <w:t xml:space="preserve"> electives, one at Duke and two study-</w:t>
      </w:r>
      <w:r w:rsidR="0024007B" w:rsidRPr="00650E9C">
        <w:t>away for credit towards graduation. If the s</w:t>
      </w:r>
      <w:r w:rsidR="00796695">
        <w:t>tudent plans a third course, he/she</w:t>
      </w:r>
      <w:r w:rsidR="0024007B" w:rsidRPr="00650E9C">
        <w:t xml:space="preserve"> will receive credit for it, but it will not count toward the 24 elective credits needed for graduation. Adv</w:t>
      </w:r>
      <w:r w:rsidR="0024007B">
        <w:t>isory D</w:t>
      </w:r>
      <w:r w:rsidR="0024007B" w:rsidRPr="00650E9C">
        <w:t xml:space="preserve">eans approve their advisees’ elective course selections and encourage students to take a broad range of courses even if they plan to subspecialize.  </w:t>
      </w:r>
      <w:r w:rsidR="0024007B">
        <w:t xml:space="preserve">Exceptions may be made for students enrolled in LIC experiences.  </w:t>
      </w:r>
    </w:p>
    <w:p w:rsidR="002761E5" w:rsidRPr="0056181A" w:rsidRDefault="00796695" w:rsidP="0056181A">
      <w:pPr>
        <w:ind w:left="720"/>
      </w:pPr>
      <w:r>
        <w:t>Students must complete 28 course credits of clinical electives including several required rotations designed to enhance students’ preparation for their internships and residencies.</w:t>
      </w:r>
    </w:p>
    <w:p w:rsidR="00166ED5" w:rsidRPr="00B42D90" w:rsidRDefault="00DA5CE8" w:rsidP="003E215E">
      <w:pPr>
        <w:rPr>
          <w:bCs/>
        </w:rPr>
      </w:pPr>
      <w:hyperlink r:id="rId7" w:history="1">
        <w:r w:rsidR="003E215E" w:rsidRPr="00166ED5">
          <w:rPr>
            <w:rStyle w:val="Hyperlink"/>
            <w:rFonts w:cstheme="minorHAnsi"/>
            <w:b/>
          </w:rPr>
          <w:t>Emergency Manage</w:t>
        </w:r>
        <w:r w:rsidR="003E215E" w:rsidRPr="00166ED5">
          <w:rPr>
            <w:rStyle w:val="Hyperlink"/>
            <w:rFonts w:cstheme="minorHAnsi"/>
            <w:b/>
          </w:rPr>
          <w:t>m</w:t>
        </w:r>
        <w:r w:rsidR="003E215E" w:rsidRPr="00166ED5">
          <w:rPr>
            <w:rStyle w:val="Hyperlink"/>
            <w:rFonts w:cstheme="minorHAnsi"/>
            <w:b/>
          </w:rPr>
          <w:t>ent Plan</w:t>
        </w:r>
      </w:hyperlink>
      <w:r w:rsidR="003E215E">
        <w:rPr>
          <w:rFonts w:cstheme="minorHAnsi"/>
        </w:rPr>
        <w:br/>
      </w:r>
      <w:r w:rsidR="003E215E">
        <w:rPr>
          <w:b/>
        </w:rPr>
        <w:br/>
      </w:r>
      <w:r w:rsidR="003E215E">
        <w:rPr>
          <w:color w:val="333333"/>
        </w:rPr>
        <w:t xml:space="preserve">         </w:t>
      </w:r>
      <w:r w:rsidR="003E215E">
        <w:rPr>
          <w:color w:val="333333"/>
        </w:rPr>
        <w:tab/>
      </w:r>
      <w:r w:rsidR="003E215E" w:rsidRPr="00650E9C">
        <w:rPr>
          <w:color w:val="333333"/>
        </w:rPr>
        <w:t xml:space="preserve">Planning for the continuity of instruction, student activities, research, and patient care at Duke University in </w:t>
      </w:r>
      <w:r w:rsidR="003E215E">
        <w:rPr>
          <w:color w:val="333333"/>
        </w:rPr>
        <w:br/>
        <w:t xml:space="preserve">         </w:t>
      </w:r>
      <w:r w:rsidR="003E215E">
        <w:rPr>
          <w:color w:val="333333"/>
        </w:rPr>
        <w:tab/>
      </w:r>
      <w:r w:rsidR="003E215E" w:rsidRPr="00650E9C">
        <w:rPr>
          <w:color w:val="333333"/>
        </w:rPr>
        <w:t>response to an emergency is a complex task. This School of Medicine (SOM) Emergency Management Plan</w:t>
      </w:r>
      <w:r w:rsidR="003E215E">
        <w:rPr>
          <w:color w:val="333333"/>
        </w:rPr>
        <w:br/>
        <w:t xml:space="preserve">         </w:t>
      </w:r>
      <w:r w:rsidR="003E215E">
        <w:rPr>
          <w:color w:val="333333"/>
        </w:rPr>
        <w:tab/>
      </w:r>
      <w:r w:rsidR="003E215E" w:rsidRPr="00650E9C">
        <w:rPr>
          <w:color w:val="333333"/>
        </w:rPr>
        <w:t>documents the framework, processes, and communications required for a successful response and recovery</w:t>
      </w:r>
      <w:r w:rsidR="00166ED5">
        <w:rPr>
          <w:color w:val="333333"/>
        </w:rPr>
        <w:br/>
        <w:t xml:space="preserve">        </w:t>
      </w:r>
      <w:r w:rsidR="00166ED5">
        <w:rPr>
          <w:color w:val="333333"/>
        </w:rPr>
        <w:tab/>
      </w:r>
      <w:r w:rsidR="003E215E">
        <w:rPr>
          <w:color w:val="333333"/>
        </w:rPr>
        <w:t>from</w:t>
      </w:r>
      <w:r w:rsidR="003E215E" w:rsidRPr="00650E9C">
        <w:rPr>
          <w:color w:val="333333"/>
        </w:rPr>
        <w:t xml:space="preserve"> an emergency incident.</w:t>
      </w:r>
    </w:p>
    <w:p w:rsidR="003E215E" w:rsidRPr="00C244AA" w:rsidRDefault="003E215E" w:rsidP="003E215E">
      <w:pPr>
        <w:rPr>
          <w:b/>
        </w:rPr>
      </w:pPr>
      <w:r w:rsidRPr="00B42D90">
        <w:rPr>
          <w:rFonts w:eastAsia="Times New Roman,Calibri"/>
          <w:b/>
        </w:rPr>
        <w:t>Exposure to Infectious and Environmental Hazards </w:t>
      </w:r>
      <w:r w:rsidR="00B42D90">
        <w:rPr>
          <w:rFonts w:eastAsia="Times New Roman,Calibri"/>
          <w:b/>
        </w:rPr>
        <w:t>(</w:t>
      </w:r>
      <w:hyperlink r:id="rId8" w:history="1">
        <w:r w:rsidR="00B42D90" w:rsidRPr="00B42D90">
          <w:rPr>
            <w:rStyle w:val="Hyperlink"/>
            <w:rFonts w:eastAsia="Times New Roman,Calibri"/>
            <w:b/>
          </w:rPr>
          <w:t>Safety and Complian</w:t>
        </w:r>
        <w:r w:rsidR="00B42D90" w:rsidRPr="00B42D90">
          <w:rPr>
            <w:rStyle w:val="Hyperlink"/>
            <w:rFonts w:eastAsia="Times New Roman,Calibri"/>
            <w:b/>
          </w:rPr>
          <w:t>c</w:t>
        </w:r>
        <w:r w:rsidR="00B42D90" w:rsidRPr="00B42D90">
          <w:rPr>
            <w:rStyle w:val="Hyperlink"/>
            <w:rFonts w:eastAsia="Times New Roman,Calibri"/>
            <w:b/>
          </w:rPr>
          <w:t>e Training</w:t>
        </w:r>
      </w:hyperlink>
      <w:r w:rsidR="00B42D90">
        <w:rPr>
          <w:rFonts w:eastAsia="Times New Roman,Calibri"/>
          <w:b/>
        </w:rPr>
        <w:t>)</w:t>
      </w:r>
    </w:p>
    <w:p w:rsidR="003E215E" w:rsidRPr="003E215E" w:rsidRDefault="003E215E" w:rsidP="003E215E">
      <w:pPr>
        <w:ind w:left="720"/>
        <w:jc w:val="both"/>
        <w:rPr>
          <w:iCs/>
          <w:color w:val="000000"/>
        </w:rPr>
      </w:pPr>
      <w:r w:rsidRPr="00650E9C">
        <w:t>All students at the Duke Un</w:t>
      </w:r>
      <w:r w:rsidR="002761E5">
        <w:t>iversity School of Medicine are required to</w:t>
      </w:r>
      <w:r w:rsidRPr="00650E9C">
        <w:t xml:space="preserve"> complete mandatory online and classroom training activities regarding personal safety and environmental exposures. </w:t>
      </w:r>
      <w:r>
        <w:t xml:space="preserve">They must also complete safety training and there are specific steps that must be followed if a student experiences biological or chemical exposure at Duke or while studying away.  For more information go </w:t>
      </w:r>
      <w:hyperlink r:id="rId9" w:history="1">
        <w:r w:rsidRPr="00CE192C">
          <w:rPr>
            <w:rStyle w:val="Hyperlink"/>
          </w:rPr>
          <w:t>he</w:t>
        </w:r>
        <w:r w:rsidRPr="00CE192C">
          <w:rPr>
            <w:rStyle w:val="Hyperlink"/>
          </w:rPr>
          <w:t>r</w:t>
        </w:r>
        <w:r w:rsidRPr="00CE192C">
          <w:rPr>
            <w:rStyle w:val="Hyperlink"/>
          </w:rPr>
          <w:t>e</w:t>
        </w:r>
      </w:hyperlink>
      <w:r>
        <w:t xml:space="preserve"> and click </w:t>
      </w:r>
      <w:r w:rsidR="00166ED5">
        <w:t xml:space="preserve">“Bulletin Addendum Items” and then on </w:t>
      </w:r>
      <w:r>
        <w:t>“Policy on Exposure.”</w:t>
      </w:r>
    </w:p>
    <w:p w:rsidR="003E215E" w:rsidRPr="00B42D90" w:rsidRDefault="003E215E" w:rsidP="003E215E">
      <w:pPr>
        <w:pStyle w:val="Heading1"/>
        <w:rPr>
          <w:rFonts w:asciiTheme="minorHAnsi" w:hAnsiTheme="minorHAnsi" w:cstheme="minorHAnsi"/>
          <w:szCs w:val="24"/>
        </w:rPr>
      </w:pPr>
      <w:bookmarkStart w:id="4" w:name="_Toc466364963"/>
      <w:r w:rsidRPr="00B42D90">
        <w:rPr>
          <w:rFonts w:asciiTheme="minorHAnsi" w:hAnsiTheme="minorHAnsi" w:cstheme="minorHAnsi"/>
          <w:szCs w:val="24"/>
        </w:rPr>
        <w:t>Grading Policies</w:t>
      </w:r>
    </w:p>
    <w:p w:rsidR="003E215E" w:rsidRDefault="003E215E" w:rsidP="003E215E">
      <w:pPr>
        <w:ind w:left="720"/>
      </w:pPr>
      <w:r>
        <w:br/>
        <w:t xml:space="preserve">Grades are available to students via ACES.  A grading basis is established for each course with Curriculum Committee approval.  Explanation of the various grade options can be found </w:t>
      </w:r>
      <w:hyperlink r:id="rId10" w:history="1">
        <w:r w:rsidRPr="00182480">
          <w:rPr>
            <w:rStyle w:val="Hyperlink"/>
          </w:rPr>
          <w:t>here.</w:t>
        </w:r>
      </w:hyperlink>
    </w:p>
    <w:p w:rsidR="003E215E" w:rsidRDefault="00DA5CE8" w:rsidP="003E215E">
      <w:pPr>
        <w:ind w:left="720"/>
        <w:rPr>
          <w:rFonts w:cstheme="minorHAnsi"/>
        </w:rPr>
      </w:pPr>
      <w:hyperlink r:id="rId11" w:history="1">
        <w:r w:rsidR="003E215E" w:rsidRPr="00E549E0">
          <w:rPr>
            <w:rStyle w:val="Hyperlink"/>
            <w:b/>
          </w:rPr>
          <w:t xml:space="preserve">Grade </w:t>
        </w:r>
        <w:r w:rsidR="003E215E" w:rsidRPr="00E549E0">
          <w:rPr>
            <w:rStyle w:val="Hyperlink"/>
            <w:b/>
          </w:rPr>
          <w:t>A</w:t>
        </w:r>
        <w:r w:rsidR="003E215E" w:rsidRPr="00E549E0">
          <w:rPr>
            <w:rStyle w:val="Hyperlink"/>
            <w:b/>
          </w:rPr>
          <w:t>ppeals</w:t>
        </w:r>
      </w:hyperlink>
      <w:r w:rsidR="003E215E">
        <w:br/>
      </w:r>
      <w:proofErr w:type="gramStart"/>
      <w:r w:rsidR="003E215E">
        <w:t>A</w:t>
      </w:r>
      <w:proofErr w:type="gramEnd"/>
      <w:r w:rsidR="003E215E">
        <w:t xml:space="preserve"> student wishing to appeal an official grade or comment must present his/her appeal to the course director within two calendar weeks of the grade being posted.</w:t>
      </w:r>
      <w:bookmarkStart w:id="5" w:name="_Toc466364964"/>
      <w:r w:rsidR="003E215E">
        <w:br/>
      </w:r>
      <w:r w:rsidR="003E215E">
        <w:br/>
      </w:r>
      <w:hyperlink r:id="rId12" w:history="1">
        <w:r w:rsidR="003E215E" w:rsidRPr="00E549E0">
          <w:rPr>
            <w:rStyle w:val="Hyperlink"/>
            <w:rFonts w:cstheme="minorHAnsi"/>
            <w:b/>
          </w:rPr>
          <w:t xml:space="preserve">Timely Submission of </w:t>
        </w:r>
        <w:r w:rsidR="003E215E" w:rsidRPr="00E549E0">
          <w:rPr>
            <w:rStyle w:val="Hyperlink"/>
            <w:rFonts w:cstheme="minorHAnsi"/>
            <w:b/>
          </w:rPr>
          <w:t>G</w:t>
        </w:r>
        <w:r w:rsidR="003E215E" w:rsidRPr="00E549E0">
          <w:rPr>
            <w:rStyle w:val="Hyperlink"/>
            <w:rFonts w:cstheme="minorHAnsi"/>
            <w:b/>
          </w:rPr>
          <w:t>rades</w:t>
        </w:r>
        <w:bookmarkEnd w:id="5"/>
      </w:hyperlink>
      <w:r w:rsidR="003E215E">
        <w:rPr>
          <w:rFonts w:cstheme="minorHAnsi"/>
        </w:rPr>
        <w:br/>
      </w:r>
      <w:r w:rsidR="003E215E" w:rsidRPr="00612475">
        <w:rPr>
          <w:rFonts w:cstheme="minorHAnsi"/>
        </w:rPr>
        <w:t>Course and clerkship directors must submit grades to the Registrar’s Office within six weeks of the end of the course/clerkship.  If a student’s completion of the course has been delayed beyond the end of the six week period, the grade of “Incomplete” will be entered</w:t>
      </w:r>
      <w:r w:rsidR="00182480">
        <w:rPr>
          <w:rFonts w:cstheme="minorHAnsi"/>
        </w:rPr>
        <w:t xml:space="preserve"> by the course or clerkship director</w:t>
      </w:r>
      <w:r w:rsidR="003E215E" w:rsidRPr="00612475">
        <w:rPr>
          <w:rFonts w:cstheme="minorHAnsi"/>
        </w:rPr>
        <w:t xml:space="preserve">.  </w:t>
      </w:r>
    </w:p>
    <w:p w:rsidR="003E215E" w:rsidRPr="00E9216D" w:rsidRDefault="00E9216D" w:rsidP="003E215E">
      <w:pPr>
        <w:pStyle w:val="Heading1"/>
        <w:ind w:firstLine="720"/>
        <w:rPr>
          <w:rStyle w:val="Hyperlink"/>
          <w:rFonts w:asciiTheme="minorHAnsi" w:hAnsiTheme="minorHAnsi" w:cstheme="minorHAnsi"/>
          <w:sz w:val="22"/>
          <w:szCs w:val="22"/>
        </w:rPr>
      </w:pPr>
      <w:r>
        <w:rPr>
          <w:rFonts w:asciiTheme="minorHAnsi" w:hAnsiTheme="minorHAnsi" w:cstheme="minorHAnsi"/>
          <w:sz w:val="22"/>
          <w:szCs w:val="22"/>
        </w:rPr>
        <w:fldChar w:fldCharType="begin"/>
      </w:r>
      <w:r w:rsidR="00593EF4">
        <w:rPr>
          <w:rFonts w:asciiTheme="minorHAnsi" w:hAnsiTheme="minorHAnsi" w:cstheme="minorHAnsi"/>
          <w:sz w:val="22"/>
          <w:szCs w:val="22"/>
        </w:rPr>
        <w:instrText>HYPERLINK "https://registrar.duke.edu/sites/default/files/bulletins/medical/2018-19/40/index.html"</w:instrText>
      </w:r>
      <w:r>
        <w:rPr>
          <w:rFonts w:asciiTheme="minorHAnsi" w:hAnsiTheme="minorHAnsi" w:cstheme="minorHAnsi"/>
          <w:sz w:val="22"/>
          <w:szCs w:val="22"/>
        </w:rPr>
        <w:fldChar w:fldCharType="separate"/>
      </w:r>
      <w:r w:rsidR="003E215E" w:rsidRPr="00E9216D">
        <w:rPr>
          <w:rStyle w:val="Hyperlink"/>
          <w:rFonts w:asciiTheme="minorHAnsi" w:hAnsiTheme="minorHAnsi" w:cstheme="minorHAnsi"/>
          <w:sz w:val="22"/>
          <w:szCs w:val="22"/>
        </w:rPr>
        <w:t xml:space="preserve">Provision of Formative </w:t>
      </w:r>
      <w:r w:rsidR="00975F88">
        <w:rPr>
          <w:rStyle w:val="Hyperlink"/>
          <w:rFonts w:asciiTheme="minorHAnsi" w:hAnsiTheme="minorHAnsi" w:cstheme="minorHAnsi"/>
          <w:sz w:val="22"/>
          <w:szCs w:val="22"/>
        </w:rPr>
        <w:t>Ass</w:t>
      </w:r>
      <w:r w:rsidR="00975F88">
        <w:rPr>
          <w:rStyle w:val="Hyperlink"/>
          <w:rFonts w:asciiTheme="minorHAnsi" w:hAnsiTheme="minorHAnsi" w:cstheme="minorHAnsi"/>
          <w:sz w:val="22"/>
          <w:szCs w:val="22"/>
        </w:rPr>
        <w:t>e</w:t>
      </w:r>
      <w:r w:rsidR="00975F88">
        <w:rPr>
          <w:rStyle w:val="Hyperlink"/>
          <w:rFonts w:asciiTheme="minorHAnsi" w:hAnsiTheme="minorHAnsi" w:cstheme="minorHAnsi"/>
          <w:sz w:val="22"/>
          <w:szCs w:val="22"/>
        </w:rPr>
        <w:t>ssment</w:t>
      </w:r>
      <w:r w:rsidR="003E215E" w:rsidRPr="00E9216D">
        <w:rPr>
          <w:rStyle w:val="Hyperlink"/>
          <w:rFonts w:asciiTheme="minorHAnsi" w:hAnsiTheme="minorHAnsi" w:cstheme="minorHAnsi"/>
          <w:sz w:val="22"/>
          <w:szCs w:val="22"/>
        </w:rPr>
        <w:t xml:space="preserve"> to Students</w:t>
      </w:r>
      <w:bookmarkEnd w:id="4"/>
    </w:p>
    <w:p w:rsidR="003E215E" w:rsidRPr="00703177" w:rsidRDefault="00E9216D" w:rsidP="003E215E">
      <w:pPr>
        <w:ind w:left="720"/>
        <w:rPr>
          <w:rFonts w:cstheme="minorHAnsi"/>
        </w:rPr>
      </w:pPr>
      <w:r>
        <w:rPr>
          <w:rFonts w:eastAsiaTheme="majorEastAsia" w:cstheme="minorHAnsi"/>
          <w:b/>
          <w:iCs/>
          <w:color w:val="000000" w:themeColor="text1"/>
        </w:rPr>
        <w:fldChar w:fldCharType="end"/>
      </w:r>
      <w:r w:rsidR="003E215E" w:rsidRPr="00612475">
        <w:rPr>
          <w:rFonts w:cstheme="minorHAnsi"/>
        </w:rPr>
        <w:t>For required courses or clerkships four weeks or longer, formal formative feedback must be provided at least once midway through the course or clerkship. A course or clerkship less than four weeks in length must provide an alternate means by which a medical student can measure his or her progress in learning.</w:t>
      </w:r>
      <w:bookmarkStart w:id="6" w:name="_Toc466364962"/>
      <w:r w:rsidR="003E215E">
        <w:rPr>
          <w:rFonts w:cstheme="minorHAnsi"/>
          <w:u w:val="single"/>
        </w:rPr>
        <w:br/>
      </w:r>
      <w:r w:rsidR="00B42D90">
        <w:br/>
      </w:r>
      <w:hyperlink r:id="rId13" w:history="1">
        <w:r w:rsidR="003E215E" w:rsidRPr="00E549E0">
          <w:rPr>
            <w:rStyle w:val="Hyperlink"/>
            <w:rFonts w:cstheme="minorHAnsi"/>
            <w:b/>
          </w:rPr>
          <w:t xml:space="preserve">Provision of Narrative </w:t>
        </w:r>
        <w:r w:rsidR="003E215E" w:rsidRPr="00E549E0">
          <w:rPr>
            <w:rStyle w:val="Hyperlink"/>
            <w:rFonts w:cstheme="minorHAnsi"/>
            <w:b/>
          </w:rPr>
          <w:t>A</w:t>
        </w:r>
        <w:r w:rsidR="003E215E" w:rsidRPr="00E549E0">
          <w:rPr>
            <w:rStyle w:val="Hyperlink"/>
            <w:rFonts w:cstheme="minorHAnsi"/>
            <w:b/>
          </w:rPr>
          <w:t>ssessment of Students’ Cognitive and Non-Cognitive Performance</w:t>
        </w:r>
        <w:bookmarkEnd w:id="6"/>
      </w:hyperlink>
      <w:r w:rsidR="003E215E" w:rsidRPr="008224D0">
        <w:rPr>
          <w:rFonts w:cstheme="minorHAnsi"/>
          <w:u w:val="single"/>
        </w:rPr>
        <w:br/>
      </w:r>
      <w:r w:rsidR="003E215E" w:rsidRPr="00703177">
        <w:rPr>
          <w:rFonts w:cstheme="minorHAnsi"/>
        </w:rPr>
        <w:t>Narrative description of a medical student’s performance, including his or her non-cognitive achievement, must be included as a component of the assessment in each required course and clerkship of the medical education progra</w:t>
      </w:r>
      <w:r w:rsidR="003E215E">
        <w:rPr>
          <w:rFonts w:cstheme="minorHAnsi"/>
        </w:rPr>
        <w:t>m in which the following apply:</w:t>
      </w:r>
    </w:p>
    <w:p w:rsidR="003E215E" w:rsidRPr="00703177" w:rsidRDefault="003E215E" w:rsidP="003E215E">
      <w:pPr>
        <w:pStyle w:val="ListParagraph"/>
        <w:numPr>
          <w:ilvl w:val="0"/>
          <w:numId w:val="10"/>
        </w:numPr>
        <w:rPr>
          <w:rFonts w:asciiTheme="minorHAnsi" w:hAnsiTheme="minorHAnsi" w:cstheme="minorHAnsi"/>
          <w:b w:val="0"/>
        </w:rPr>
      </w:pPr>
      <w:r w:rsidRPr="00703177">
        <w:rPr>
          <w:rFonts w:asciiTheme="minorHAnsi" w:hAnsiTheme="minorHAnsi" w:cstheme="minorHAnsi"/>
          <w:b w:val="0"/>
        </w:rPr>
        <w:t>The course duration is four weeks or longer.</w:t>
      </w:r>
    </w:p>
    <w:p w:rsidR="003E215E" w:rsidRPr="00703177" w:rsidRDefault="003E215E" w:rsidP="003E215E">
      <w:pPr>
        <w:pStyle w:val="ListParagraph"/>
        <w:numPr>
          <w:ilvl w:val="0"/>
          <w:numId w:val="10"/>
        </w:numPr>
        <w:rPr>
          <w:rFonts w:asciiTheme="minorHAnsi" w:hAnsiTheme="minorHAnsi" w:cstheme="minorHAnsi"/>
          <w:b w:val="0"/>
        </w:rPr>
      </w:pPr>
      <w:r w:rsidRPr="00703177">
        <w:rPr>
          <w:rFonts w:asciiTheme="minorHAnsi" w:hAnsiTheme="minorHAnsi" w:cstheme="minorHAnsi"/>
          <w:b w:val="0"/>
        </w:rPr>
        <w:t>There is sufficient longitudinal and interpersonal interacti</w:t>
      </w:r>
      <w:r w:rsidR="00B42D90">
        <w:rPr>
          <w:rFonts w:asciiTheme="minorHAnsi" w:hAnsiTheme="minorHAnsi" w:cstheme="minorHAnsi"/>
          <w:b w:val="0"/>
        </w:rPr>
        <w:t>on of instructors and students s</w:t>
      </w:r>
      <w:r w:rsidRPr="00703177">
        <w:rPr>
          <w:rFonts w:asciiTheme="minorHAnsi" w:hAnsiTheme="minorHAnsi" w:cstheme="minorHAnsi"/>
          <w:b w:val="0"/>
        </w:rPr>
        <w:t>uch there is reasonable basis to evaluate the students and provide narrative feedback.</w:t>
      </w:r>
    </w:p>
    <w:p w:rsidR="003E215E" w:rsidRPr="00866955" w:rsidRDefault="003E215E" w:rsidP="003E215E">
      <w:pPr>
        <w:pStyle w:val="ListParagraph"/>
        <w:numPr>
          <w:ilvl w:val="0"/>
          <w:numId w:val="10"/>
        </w:numPr>
        <w:rPr>
          <w:b w:val="0"/>
        </w:rPr>
      </w:pPr>
      <w:r w:rsidRPr="00703177">
        <w:rPr>
          <w:rFonts w:asciiTheme="minorHAnsi" w:hAnsiTheme="minorHAnsi" w:cstheme="minorHAnsi"/>
          <w:b w:val="0"/>
        </w:rPr>
        <w:t>Attendance at the learning activities that form the basis of the narrative assessment is required</w:t>
      </w:r>
      <w:r w:rsidRPr="00650E9C">
        <w:rPr>
          <w:b w:val="0"/>
        </w:rPr>
        <w:t>.</w:t>
      </w:r>
    </w:p>
    <w:p w:rsidR="003E215E" w:rsidRPr="00593EF4" w:rsidRDefault="00F92DD0" w:rsidP="003E215E">
      <w:pPr>
        <w:rPr>
          <w:rStyle w:val="Hyperlink"/>
          <w:b/>
        </w:rPr>
      </w:pPr>
      <w:r w:rsidRPr="00612475">
        <w:rPr>
          <w:rFonts w:cstheme="minorHAnsi"/>
        </w:rPr>
        <w:br/>
      </w:r>
      <w:bookmarkStart w:id="7" w:name="_Toc466364974"/>
      <w:r w:rsidR="00593EF4">
        <w:rPr>
          <w:rFonts w:cstheme="minorHAnsi"/>
          <w:b/>
          <w:u w:val="single"/>
        </w:rPr>
        <w:fldChar w:fldCharType="begin"/>
      </w:r>
      <w:r w:rsidR="00593EF4">
        <w:rPr>
          <w:rFonts w:cstheme="minorHAnsi"/>
          <w:b/>
          <w:u w:val="single"/>
        </w:rPr>
        <w:instrText xml:space="preserve"> HYPERLINK "https://registrar.duke.edu/sites/default/files/bulletins/medical/2018-19/40/index.html" </w:instrText>
      </w:r>
      <w:r w:rsidR="00593EF4">
        <w:rPr>
          <w:rFonts w:cstheme="minorHAnsi"/>
          <w:b/>
          <w:u w:val="single"/>
        </w:rPr>
        <w:fldChar w:fldCharType="separate"/>
      </w:r>
      <w:r w:rsidR="003E215E" w:rsidRPr="00593EF4">
        <w:rPr>
          <w:rStyle w:val="Hyperlink"/>
          <w:rFonts w:cstheme="minorHAnsi"/>
          <w:b/>
        </w:rPr>
        <w:t>Prohibiting the Involvement of Providers of Student Health Serv</w:t>
      </w:r>
      <w:r w:rsidR="00CF3B82" w:rsidRPr="00593EF4">
        <w:rPr>
          <w:rStyle w:val="Hyperlink"/>
          <w:rFonts w:cstheme="minorHAnsi"/>
          <w:b/>
        </w:rPr>
        <w:t>ic</w:t>
      </w:r>
      <w:r w:rsidR="003E215E" w:rsidRPr="00593EF4">
        <w:rPr>
          <w:rStyle w:val="Hyperlink"/>
          <w:rFonts w:cstheme="minorHAnsi"/>
          <w:b/>
        </w:rPr>
        <w:t>es in Student Assessment and Promotion</w:t>
      </w:r>
      <w:bookmarkEnd w:id="7"/>
    </w:p>
    <w:p w:rsidR="00796695" w:rsidRPr="0056181A" w:rsidRDefault="00593EF4" w:rsidP="0056181A">
      <w:pPr>
        <w:ind w:left="720"/>
        <w:rPr>
          <w:bCs/>
        </w:rPr>
      </w:pPr>
      <w:r>
        <w:rPr>
          <w:rFonts w:cstheme="minorHAnsi"/>
          <w:b/>
          <w:u w:val="single"/>
        </w:rPr>
        <w:fldChar w:fldCharType="end"/>
      </w:r>
      <w:r w:rsidR="003E215E" w:rsidRPr="00650E9C">
        <w:rPr>
          <w:bCs/>
        </w:rPr>
        <w:t xml:space="preserve">Providers of health </w:t>
      </w:r>
      <w:r w:rsidR="00BF17EA">
        <w:rPr>
          <w:bCs/>
        </w:rPr>
        <w:t xml:space="preserve">and psychiatric/psychological </w:t>
      </w:r>
      <w:r w:rsidR="003E215E" w:rsidRPr="00650E9C">
        <w:rPr>
          <w:bCs/>
        </w:rPr>
        <w:t>services to a medical student will have no involvement in the academic assessment of or in decisions about</w:t>
      </w:r>
      <w:r w:rsidR="003E215E">
        <w:rPr>
          <w:bCs/>
        </w:rPr>
        <w:t xml:space="preserve"> the promotion of that student.</w:t>
      </w:r>
    </w:p>
    <w:p w:rsidR="003E215E" w:rsidRPr="00E9216D" w:rsidRDefault="00E9216D" w:rsidP="003E215E">
      <w:pPr>
        <w:autoSpaceDE w:val="0"/>
        <w:autoSpaceDN w:val="0"/>
        <w:adjustRightInd w:val="0"/>
        <w:rPr>
          <w:rStyle w:val="Hyperlink"/>
        </w:rPr>
      </w:pPr>
      <w:r>
        <w:rPr>
          <w:b/>
        </w:rPr>
        <w:fldChar w:fldCharType="begin"/>
      </w:r>
      <w:r w:rsidR="00593EF4">
        <w:rPr>
          <w:b/>
        </w:rPr>
        <w:instrText>HYPERLINK "https://registrar.duke.edu/sites/default/files/bulletins/medical/2018-19/42/index.html"</w:instrText>
      </w:r>
      <w:r>
        <w:rPr>
          <w:b/>
        </w:rPr>
        <w:fldChar w:fldCharType="separate"/>
      </w:r>
      <w:r w:rsidR="003E215E" w:rsidRPr="00E9216D">
        <w:rPr>
          <w:rStyle w:val="Hyperlink"/>
          <w:b/>
        </w:rPr>
        <w:t xml:space="preserve">Repetition of </w:t>
      </w:r>
      <w:r w:rsidR="003E215E" w:rsidRPr="00E9216D">
        <w:rPr>
          <w:rStyle w:val="Hyperlink"/>
          <w:b/>
        </w:rPr>
        <w:t>C</w:t>
      </w:r>
      <w:r w:rsidR="003E215E" w:rsidRPr="00E9216D">
        <w:rPr>
          <w:rStyle w:val="Hyperlink"/>
          <w:b/>
        </w:rPr>
        <w:t>ourses</w:t>
      </w:r>
    </w:p>
    <w:p w:rsidR="003E215E" w:rsidRDefault="00E9216D" w:rsidP="003E215E">
      <w:pPr>
        <w:ind w:firstLine="720"/>
      </w:pPr>
      <w:r>
        <w:rPr>
          <w:b/>
        </w:rPr>
        <w:fldChar w:fldCharType="end"/>
      </w:r>
      <w:r w:rsidR="003E215E">
        <w:t>Students enrolled in the MD program may not take the same course for credit more than once.</w:t>
      </w:r>
    </w:p>
    <w:p w:rsidR="00F92DD0" w:rsidRPr="00E9216D" w:rsidRDefault="00E9216D" w:rsidP="00F92DD0">
      <w:pPr>
        <w:pStyle w:val="Heading1"/>
        <w:rPr>
          <w:rStyle w:val="Hyperlink"/>
          <w:rFonts w:asciiTheme="minorHAnsi" w:hAnsiTheme="minorHAnsi" w:cstheme="minorHAnsi"/>
          <w:sz w:val="22"/>
          <w:szCs w:val="22"/>
        </w:rPr>
      </w:pPr>
      <w:r>
        <w:rPr>
          <w:rFonts w:asciiTheme="minorHAnsi" w:hAnsiTheme="minorHAnsi" w:cstheme="minorHAnsi"/>
          <w:sz w:val="22"/>
          <w:szCs w:val="22"/>
        </w:rPr>
        <w:fldChar w:fldCharType="begin"/>
      </w:r>
      <w:r w:rsidR="00593EF4">
        <w:rPr>
          <w:rFonts w:asciiTheme="minorHAnsi" w:hAnsiTheme="minorHAnsi" w:cstheme="minorHAnsi"/>
          <w:sz w:val="22"/>
          <w:szCs w:val="22"/>
        </w:rPr>
        <w:instrText>HYPERLINK "https://registrar.duke.edu/sites/default/files/bulletins/medical/2018-19/34/index.html"</w:instrText>
      </w:r>
      <w:r>
        <w:rPr>
          <w:rFonts w:asciiTheme="minorHAnsi" w:hAnsiTheme="minorHAnsi" w:cstheme="minorHAnsi"/>
          <w:sz w:val="22"/>
          <w:szCs w:val="22"/>
        </w:rPr>
        <w:fldChar w:fldCharType="separate"/>
      </w:r>
      <w:r w:rsidR="00F92DD0" w:rsidRPr="00E9216D">
        <w:rPr>
          <w:rStyle w:val="Hyperlink"/>
          <w:rFonts w:asciiTheme="minorHAnsi" w:hAnsiTheme="minorHAnsi" w:cstheme="minorHAnsi"/>
          <w:sz w:val="22"/>
          <w:szCs w:val="22"/>
        </w:rPr>
        <w:t>Reporting of Inappropriate Treatment in the Teacher-Learner</w:t>
      </w:r>
      <w:r w:rsidR="00F92DD0" w:rsidRPr="00E9216D">
        <w:rPr>
          <w:rStyle w:val="Hyperlink"/>
          <w:rFonts w:asciiTheme="minorHAnsi" w:hAnsiTheme="minorHAnsi" w:cstheme="minorHAnsi"/>
          <w:sz w:val="22"/>
          <w:szCs w:val="22"/>
        </w:rPr>
        <w:t xml:space="preserve"> </w:t>
      </w:r>
      <w:r w:rsidR="00F92DD0" w:rsidRPr="00E9216D">
        <w:rPr>
          <w:rStyle w:val="Hyperlink"/>
          <w:rFonts w:asciiTheme="minorHAnsi" w:hAnsiTheme="minorHAnsi" w:cstheme="minorHAnsi"/>
          <w:sz w:val="22"/>
          <w:szCs w:val="22"/>
        </w:rPr>
        <w:t>Relationship</w:t>
      </w:r>
      <w:bookmarkEnd w:id="2"/>
    </w:p>
    <w:p w:rsidR="00F92DD0" w:rsidRPr="00612475" w:rsidRDefault="00E9216D" w:rsidP="00F92DD0">
      <w:pPr>
        <w:pStyle w:val="SupportingDocumentationBulletedList"/>
        <w:spacing w:after="200"/>
        <w:ind w:left="720"/>
        <w:rPr>
          <w:rFonts w:asciiTheme="minorHAnsi" w:hAnsiTheme="minorHAnsi" w:cstheme="minorHAnsi"/>
          <w:sz w:val="22"/>
        </w:rPr>
      </w:pPr>
      <w:r>
        <w:rPr>
          <w:rFonts w:asciiTheme="minorHAnsi" w:eastAsiaTheme="majorEastAsia" w:hAnsiTheme="minorHAnsi" w:cstheme="minorHAnsi"/>
          <w:b/>
          <w:color w:val="000000" w:themeColor="text1"/>
          <w:sz w:val="22"/>
        </w:rPr>
        <w:fldChar w:fldCharType="end"/>
      </w:r>
      <w:r w:rsidR="00F92DD0" w:rsidRPr="00612475">
        <w:rPr>
          <w:rFonts w:asciiTheme="minorHAnsi" w:hAnsiTheme="minorHAnsi" w:cstheme="minorHAnsi"/>
          <w:sz w:val="22"/>
        </w:rPr>
        <w:br/>
        <w:t>Perceived inappropriate treatment of a learner, either experienced or witnessed, should be reported by using one or more of the following methods:</w:t>
      </w:r>
    </w:p>
    <w:p w:rsidR="00F92DD0" w:rsidRDefault="00F92DD0" w:rsidP="00612475">
      <w:pPr>
        <w:pStyle w:val="SupportingDocumentationBulletedList"/>
        <w:spacing w:after="200"/>
        <w:ind w:left="720"/>
        <w:rPr>
          <w:rFonts w:asciiTheme="minorHAnsi" w:hAnsiTheme="minorHAnsi" w:cstheme="minorHAnsi"/>
          <w:sz w:val="22"/>
        </w:rPr>
      </w:pPr>
      <w:r w:rsidRPr="00612475">
        <w:rPr>
          <w:rFonts w:asciiTheme="minorHAnsi" w:hAnsiTheme="minorHAnsi" w:cstheme="minorHAnsi"/>
          <w:sz w:val="22"/>
        </w:rPr>
        <w:t>- verbally or in writing to the course director of the learner’s course</w:t>
      </w:r>
      <w:r w:rsidRPr="00612475">
        <w:rPr>
          <w:rFonts w:asciiTheme="minorHAnsi" w:hAnsiTheme="minorHAnsi" w:cstheme="minorHAnsi"/>
          <w:sz w:val="22"/>
        </w:rPr>
        <w:br/>
        <w:t>- verbally or in writing to the advisory dean or personal advisor of the learner</w:t>
      </w:r>
      <w:r w:rsidRPr="00612475">
        <w:rPr>
          <w:rFonts w:asciiTheme="minorHAnsi" w:hAnsiTheme="minorHAnsi" w:cstheme="minorHAnsi"/>
          <w:sz w:val="22"/>
        </w:rPr>
        <w:br/>
        <w:t>- in a mandatory end-of-course evaluation</w:t>
      </w:r>
      <w:r w:rsidRPr="00612475">
        <w:rPr>
          <w:rFonts w:asciiTheme="minorHAnsi" w:hAnsiTheme="minorHAnsi" w:cstheme="minorHAnsi"/>
          <w:sz w:val="22"/>
        </w:rPr>
        <w:br/>
        <w:t>- in other internal surveys done by the learner’s program</w:t>
      </w:r>
      <w:r w:rsidRPr="00612475">
        <w:rPr>
          <w:rFonts w:asciiTheme="minorHAnsi" w:hAnsiTheme="minorHAnsi" w:cstheme="minorHAnsi"/>
          <w:sz w:val="22"/>
        </w:rPr>
        <w:br/>
        <w:t>- on the Adverse Events website for the SOM (can be anonymous</w:t>
      </w:r>
      <w:proofErr w:type="gramStart"/>
      <w:r w:rsidRPr="00612475">
        <w:rPr>
          <w:rFonts w:asciiTheme="minorHAnsi" w:hAnsiTheme="minorHAnsi" w:cstheme="minorHAnsi"/>
          <w:sz w:val="22"/>
        </w:rPr>
        <w:t>)</w:t>
      </w:r>
      <w:proofErr w:type="gramEnd"/>
      <w:r w:rsidRPr="00612475">
        <w:rPr>
          <w:rFonts w:asciiTheme="minorHAnsi" w:hAnsiTheme="minorHAnsi" w:cstheme="minorHAnsi"/>
          <w:sz w:val="22"/>
        </w:rPr>
        <w:br/>
        <w:t>- to a member of the Committee on Appropriate Treatment of Learners (CAT)</w:t>
      </w:r>
      <w:r w:rsidRPr="00612475">
        <w:rPr>
          <w:rFonts w:asciiTheme="minorHAnsi" w:hAnsiTheme="minorHAnsi" w:cstheme="minorHAnsi"/>
          <w:sz w:val="22"/>
        </w:rPr>
        <w:br/>
        <w:t>- to the SOM or University Ombudsperson</w:t>
      </w:r>
      <w:r w:rsidRPr="00612475">
        <w:rPr>
          <w:rFonts w:asciiTheme="minorHAnsi" w:hAnsiTheme="minorHAnsi" w:cstheme="minorHAnsi"/>
          <w:sz w:val="22"/>
        </w:rPr>
        <w:br/>
        <w:t>- to the Duke University Office of Institutional Equity</w:t>
      </w:r>
    </w:p>
    <w:bookmarkStart w:id="8" w:name="_Toc466364973"/>
    <w:bookmarkStart w:id="9" w:name="_Toc466364969"/>
    <w:bookmarkStart w:id="10" w:name="_Toc466364957"/>
    <w:p w:rsidR="003E215E" w:rsidRPr="00B73F2F" w:rsidRDefault="00B73F2F" w:rsidP="00096B74">
      <w:pPr>
        <w:rPr>
          <w:rStyle w:val="Hyperlink"/>
          <w:rFonts w:cstheme="minorHAnsi"/>
        </w:rPr>
      </w:pPr>
      <w:r>
        <w:rPr>
          <w:b/>
        </w:rPr>
        <w:fldChar w:fldCharType="begin"/>
      </w:r>
      <w:r w:rsidR="00593EF4">
        <w:rPr>
          <w:b/>
        </w:rPr>
        <w:instrText>HYPERLINK "https://registrar.duke.edu/sites/default/files/bulletins/medical/2018-19/42/index.html"</w:instrText>
      </w:r>
      <w:r>
        <w:rPr>
          <w:b/>
        </w:rPr>
        <w:fldChar w:fldCharType="separate"/>
      </w:r>
      <w:r w:rsidR="003E215E" w:rsidRPr="00B73F2F">
        <w:rPr>
          <w:rStyle w:val="Hyperlink"/>
          <w:b/>
        </w:rPr>
        <w:t>Ret</w:t>
      </w:r>
      <w:r w:rsidR="003E215E" w:rsidRPr="00B73F2F">
        <w:rPr>
          <w:rStyle w:val="Hyperlink"/>
          <w:b/>
        </w:rPr>
        <w:t>e</w:t>
      </w:r>
      <w:r w:rsidR="003E215E" w:rsidRPr="00B73F2F">
        <w:rPr>
          <w:rStyle w:val="Hyperlink"/>
          <w:b/>
        </w:rPr>
        <w:t>sting</w:t>
      </w:r>
    </w:p>
    <w:p w:rsidR="003E215E" w:rsidRDefault="00B73F2F" w:rsidP="00E9216D">
      <w:pPr>
        <w:ind w:left="720"/>
      </w:pPr>
      <w:r>
        <w:rPr>
          <w:b/>
        </w:rPr>
        <w:fldChar w:fldCharType="end"/>
      </w:r>
      <w:r w:rsidR="003E215E" w:rsidRPr="001E7884">
        <w:t>In order to be eligible to retake a test or failed examination in a SOM course tha</w:t>
      </w:r>
      <w:r w:rsidR="003E215E">
        <w:t>t allows for retesting on indivi</w:t>
      </w:r>
      <w:r w:rsidR="003E215E" w:rsidRPr="001E7884">
        <w:t xml:space="preserve">dual examinations during the course, </w:t>
      </w:r>
      <w:r w:rsidR="00E9216D">
        <w:t xml:space="preserve">the student must meet with the course director to determine if a retest can be done.  If the course director determines remediation is needed prior to the retest, the student must meet with his/her Advisory Dean and complete a </w:t>
      </w:r>
      <w:r w:rsidR="003E215E" w:rsidRPr="001E7884">
        <w:t>“Request for Re-examination” form</w:t>
      </w:r>
      <w:r w:rsidR="00E9216D">
        <w:t xml:space="preserve">. </w:t>
      </w:r>
      <w:r>
        <w:t xml:space="preserve"> </w:t>
      </w:r>
      <w:r w:rsidR="00E9216D">
        <w:t xml:space="preserve">This policy is applicable only to students who fail and exam and cannot be utilized for students who want to improve a passing grade.  </w:t>
      </w:r>
    </w:p>
    <w:p w:rsidR="003E215E" w:rsidRPr="00B73F2F" w:rsidRDefault="00B73F2F" w:rsidP="003E215E">
      <w:pPr>
        <w:rPr>
          <w:rStyle w:val="Hyperlink"/>
          <w:rFonts w:cstheme="minorHAnsi"/>
          <w:b/>
        </w:rPr>
      </w:pPr>
      <w:r>
        <w:rPr>
          <w:rFonts w:cstheme="minorHAnsi"/>
          <w:b/>
        </w:rPr>
        <w:fldChar w:fldCharType="begin"/>
      </w:r>
      <w:r w:rsidR="00593EF4">
        <w:rPr>
          <w:rFonts w:cstheme="minorHAnsi"/>
          <w:b/>
        </w:rPr>
        <w:instrText>HYPERLINK "https://registrar.duke.edu/sites/default/files/bulletins/medical/2018-19/52/index.html"</w:instrText>
      </w:r>
      <w:r>
        <w:rPr>
          <w:rFonts w:cstheme="minorHAnsi"/>
          <w:b/>
        </w:rPr>
        <w:fldChar w:fldCharType="separate"/>
      </w:r>
      <w:r w:rsidR="003E215E" w:rsidRPr="00B73F2F">
        <w:rPr>
          <w:rStyle w:val="Hyperlink"/>
          <w:rFonts w:cstheme="minorHAnsi"/>
          <w:b/>
        </w:rPr>
        <w:t>Severe Weather Att</w:t>
      </w:r>
      <w:r w:rsidR="003E215E" w:rsidRPr="00B73F2F">
        <w:rPr>
          <w:rStyle w:val="Hyperlink"/>
          <w:rFonts w:cstheme="minorHAnsi"/>
          <w:b/>
        </w:rPr>
        <w:t>e</w:t>
      </w:r>
      <w:r w:rsidR="003E215E" w:rsidRPr="00B73F2F">
        <w:rPr>
          <w:rStyle w:val="Hyperlink"/>
          <w:rFonts w:cstheme="minorHAnsi"/>
          <w:b/>
        </w:rPr>
        <w:t>ndance</w:t>
      </w:r>
    </w:p>
    <w:p w:rsidR="0024007B" w:rsidRPr="0024007B" w:rsidRDefault="00B73F2F" w:rsidP="0024007B">
      <w:pPr>
        <w:ind w:left="720"/>
        <w:rPr>
          <w:rFonts w:cstheme="minorHAnsi"/>
          <w:b/>
        </w:rPr>
      </w:pPr>
      <w:r>
        <w:rPr>
          <w:rFonts w:cstheme="minorHAnsi"/>
          <w:b/>
        </w:rPr>
        <w:fldChar w:fldCharType="end"/>
      </w:r>
      <w:r w:rsidR="003E215E">
        <w:rPr>
          <w:rFonts w:cstheme="minorHAnsi"/>
        </w:rPr>
        <w:t xml:space="preserve">The SOM </w:t>
      </w:r>
      <w:r w:rsidR="00F53CF8">
        <w:rPr>
          <w:rFonts w:cstheme="minorHAnsi"/>
        </w:rPr>
        <w:t>will follow the P</w:t>
      </w:r>
      <w:r w:rsidR="003E215E">
        <w:rPr>
          <w:rFonts w:cstheme="minorHAnsi"/>
        </w:rPr>
        <w:t>rovost’s decisions in regards to cancellation of classes.  If classes are cancelled, students should not report for any medical school activities (classes, labs, clinical assignments, etc.)</w:t>
      </w:r>
      <w:bookmarkEnd w:id="8"/>
    </w:p>
    <w:p w:rsidR="0024007B" w:rsidRDefault="00BE6780" w:rsidP="004109E9">
      <w:pPr>
        <w:rPr>
          <w:b/>
          <w:u w:val="single"/>
        </w:rPr>
      </w:pPr>
      <w:hyperlink r:id="rId14" w:history="1">
        <w:r w:rsidR="0024007B" w:rsidRPr="00BE6780">
          <w:rPr>
            <w:rStyle w:val="Hyperlink"/>
            <w:b/>
          </w:rPr>
          <w:t>Social M</w:t>
        </w:r>
        <w:r w:rsidR="0024007B" w:rsidRPr="00BE6780">
          <w:rPr>
            <w:rStyle w:val="Hyperlink"/>
            <w:b/>
          </w:rPr>
          <w:t>e</w:t>
        </w:r>
        <w:r w:rsidR="0056181A" w:rsidRPr="00BE6780">
          <w:rPr>
            <w:rStyle w:val="Hyperlink"/>
            <w:b/>
          </w:rPr>
          <w:t>dia Guid</w:t>
        </w:r>
        <w:r w:rsidRPr="00BE6780">
          <w:rPr>
            <w:rStyle w:val="Hyperlink"/>
            <w:b/>
          </w:rPr>
          <w:t>e</w:t>
        </w:r>
        <w:r w:rsidR="0056181A" w:rsidRPr="00BE6780">
          <w:rPr>
            <w:rStyle w:val="Hyperlink"/>
            <w:b/>
          </w:rPr>
          <w:t>lines</w:t>
        </w:r>
      </w:hyperlink>
    </w:p>
    <w:p w:rsidR="0024007B" w:rsidRPr="0024007B" w:rsidRDefault="0024007B" w:rsidP="0024007B">
      <w:pPr>
        <w:ind w:left="720"/>
      </w:pPr>
      <w:r>
        <w:t xml:space="preserve">These guidelines cover the use of social media and internet activities that associate </w:t>
      </w:r>
      <w:proofErr w:type="spellStart"/>
      <w:r>
        <w:t>SoM</w:t>
      </w:r>
      <w:proofErr w:type="spellEnd"/>
      <w:r>
        <w:t xml:space="preserve"> activities, faculty, staff and health professions students with Duke through the use of a Duke title, email address or other identifying information.</w:t>
      </w:r>
    </w:p>
    <w:p w:rsidR="003E215E" w:rsidRPr="00B73F2F" w:rsidRDefault="00B73F2F" w:rsidP="003E215E">
      <w:pPr>
        <w:pStyle w:val="Heading1"/>
        <w:rPr>
          <w:rStyle w:val="Hyperlink"/>
          <w:rFonts w:asciiTheme="minorHAnsi" w:hAnsiTheme="minorHAnsi" w:cstheme="minorHAnsi"/>
          <w:sz w:val="22"/>
          <w:szCs w:val="22"/>
        </w:rPr>
      </w:pPr>
      <w:r>
        <w:rPr>
          <w:rFonts w:asciiTheme="minorHAnsi" w:hAnsiTheme="minorHAnsi" w:cstheme="minorHAnsi"/>
          <w:sz w:val="22"/>
          <w:szCs w:val="22"/>
        </w:rPr>
        <w:fldChar w:fldCharType="begin"/>
      </w:r>
      <w:r w:rsidR="00593EF4">
        <w:rPr>
          <w:rFonts w:asciiTheme="minorHAnsi" w:hAnsiTheme="minorHAnsi" w:cstheme="minorHAnsi"/>
          <w:sz w:val="22"/>
          <w:szCs w:val="22"/>
        </w:rPr>
        <w:instrText>HYPERLINK "https://registrar.duke.edu/sites/default/files/bulletins/medical/2018-19/44/index.html"</w:instrText>
      </w:r>
      <w:r>
        <w:rPr>
          <w:rFonts w:asciiTheme="minorHAnsi" w:hAnsiTheme="minorHAnsi" w:cstheme="minorHAnsi"/>
          <w:sz w:val="22"/>
          <w:szCs w:val="22"/>
        </w:rPr>
        <w:fldChar w:fldCharType="separate"/>
      </w:r>
      <w:r w:rsidR="003E215E" w:rsidRPr="00B73F2F">
        <w:rPr>
          <w:rStyle w:val="Hyperlink"/>
          <w:rFonts w:asciiTheme="minorHAnsi" w:hAnsiTheme="minorHAnsi" w:cstheme="minorHAnsi"/>
          <w:sz w:val="22"/>
          <w:szCs w:val="22"/>
        </w:rPr>
        <w:t>Student Assign</w:t>
      </w:r>
      <w:r w:rsidR="003E215E" w:rsidRPr="00B73F2F">
        <w:rPr>
          <w:rStyle w:val="Hyperlink"/>
          <w:rFonts w:asciiTheme="minorHAnsi" w:hAnsiTheme="minorHAnsi" w:cstheme="minorHAnsi"/>
          <w:sz w:val="22"/>
          <w:szCs w:val="22"/>
        </w:rPr>
        <w:t>m</w:t>
      </w:r>
      <w:r w:rsidR="003E215E" w:rsidRPr="00B73F2F">
        <w:rPr>
          <w:rStyle w:val="Hyperlink"/>
          <w:rFonts w:asciiTheme="minorHAnsi" w:hAnsiTheme="minorHAnsi" w:cstheme="minorHAnsi"/>
          <w:sz w:val="22"/>
          <w:szCs w:val="22"/>
        </w:rPr>
        <w:t>ent</w:t>
      </w:r>
      <w:bookmarkEnd w:id="9"/>
    </w:p>
    <w:p w:rsidR="001856A3" w:rsidRPr="003E215E" w:rsidRDefault="00B73F2F" w:rsidP="003E215E">
      <w:pPr>
        <w:ind w:left="720"/>
      </w:pPr>
      <w:r>
        <w:rPr>
          <w:rFonts w:eastAsiaTheme="majorEastAsia" w:cstheme="minorHAnsi"/>
          <w:b/>
          <w:iCs/>
          <w:color w:val="000000" w:themeColor="text1"/>
        </w:rPr>
        <w:fldChar w:fldCharType="end"/>
      </w:r>
      <w:r w:rsidR="003E215E" w:rsidRPr="00612475">
        <w:rPr>
          <w:rFonts w:cstheme="minorHAnsi"/>
        </w:rPr>
        <w:br/>
        <w:t>Clinical course directors are responsible for assigning students to instructional sites.  A medical student may request an alternate training site when circumstances allow for it.</w:t>
      </w:r>
    </w:p>
    <w:p w:rsidR="00941A72" w:rsidRPr="00A073A2" w:rsidRDefault="00941A72" w:rsidP="00F92DD0">
      <w:pPr>
        <w:pStyle w:val="SupportingDocumentationBulletedList"/>
        <w:spacing w:after="200"/>
        <w:rPr>
          <w:rFonts w:asciiTheme="minorHAnsi" w:hAnsiTheme="minorHAnsi" w:cstheme="minorHAnsi"/>
          <w:b/>
          <w:color w:val="000000" w:themeColor="text1"/>
          <w:sz w:val="22"/>
          <w:u w:val="single"/>
        </w:rPr>
      </w:pPr>
    </w:p>
    <w:p w:rsidR="00941A72" w:rsidRPr="00A073A2" w:rsidRDefault="00A073A2" w:rsidP="00941A72">
      <w:pPr>
        <w:ind w:left="360" w:hanging="360"/>
        <w:rPr>
          <w:rFonts w:ascii="Calibri" w:hAnsi="Calibri" w:cs="Calibri"/>
          <w:b/>
          <w:bCs/>
          <w:color w:val="000000" w:themeColor="text1"/>
          <w:u w:val="single"/>
        </w:rPr>
      </w:pPr>
      <w:r w:rsidRPr="00BE6780">
        <w:rPr>
          <w:rFonts w:ascii="Calibri" w:hAnsi="Calibri" w:cs="Calibri"/>
          <w:b/>
          <w:color w:val="000000" w:themeColor="text1"/>
          <w:u w:val="single"/>
        </w:rPr>
        <w:t>Students Treating Students in the Clinical Setting</w:t>
      </w:r>
      <w:r w:rsidR="00593EF4">
        <w:rPr>
          <w:rFonts w:ascii="Calibri" w:hAnsi="Calibri" w:cs="Calibri"/>
          <w:color w:val="000000" w:themeColor="text1"/>
          <w:u w:val="single"/>
        </w:rPr>
        <w:t xml:space="preserve"> </w:t>
      </w:r>
      <w:r w:rsidR="00593EF4" w:rsidRPr="00593EF4">
        <w:rPr>
          <w:rFonts w:ascii="Calibri" w:hAnsi="Calibri" w:cs="Calibri"/>
          <w:i/>
          <w:color w:val="000000" w:themeColor="text1"/>
        </w:rPr>
        <w:t>(no link)</w:t>
      </w:r>
    </w:p>
    <w:p w:rsidR="00941A72" w:rsidRPr="00BE6780" w:rsidRDefault="00941A72" w:rsidP="00BE6780">
      <w:pPr>
        <w:spacing w:before="100" w:beforeAutospacing="1" w:after="100" w:afterAutospacing="1"/>
        <w:ind w:left="360"/>
        <w:rPr>
          <w:rFonts w:ascii="Calibri" w:hAnsi="Calibri" w:cs="Calibri"/>
          <w:i/>
          <w:iCs/>
          <w:color w:val="2E75B6"/>
        </w:rPr>
      </w:pPr>
      <w:r w:rsidRPr="00A073A2">
        <w:rPr>
          <w:iCs/>
          <w:color w:val="000000" w:themeColor="text1"/>
        </w:rPr>
        <w:t>Students in the School of Medicine have the right to decline to be seen by their peers when they receive care in the clinical setting. In order to protect their privacy, when a SOM student is hospitalized or seen in a clinic, they should be given the option of having other students on their care team and they should be free to decline without penalty</w:t>
      </w:r>
      <w:r>
        <w:rPr>
          <w:i/>
          <w:iCs/>
          <w:color w:val="2E75B6"/>
        </w:rPr>
        <w:t>.</w:t>
      </w:r>
    </w:p>
    <w:p w:rsidR="00F92DD0" w:rsidRPr="008224D0" w:rsidRDefault="00F92DD0" w:rsidP="00F92DD0">
      <w:pPr>
        <w:pStyle w:val="SupportingDocumentationBulletedList"/>
        <w:spacing w:after="200"/>
        <w:rPr>
          <w:rFonts w:asciiTheme="minorHAnsi" w:hAnsiTheme="minorHAnsi" w:cstheme="minorHAnsi"/>
          <w:b/>
          <w:sz w:val="22"/>
          <w:u w:val="single"/>
        </w:rPr>
      </w:pPr>
      <w:r w:rsidRPr="008224D0">
        <w:rPr>
          <w:rFonts w:asciiTheme="minorHAnsi" w:hAnsiTheme="minorHAnsi" w:cstheme="minorHAnsi"/>
          <w:b/>
          <w:sz w:val="22"/>
          <w:u w:val="single"/>
        </w:rPr>
        <w:t>Student Workload</w:t>
      </w:r>
      <w:bookmarkEnd w:id="10"/>
      <w:r w:rsidR="00593EF4">
        <w:rPr>
          <w:rFonts w:asciiTheme="minorHAnsi" w:hAnsiTheme="minorHAnsi" w:cstheme="minorHAnsi"/>
          <w:b/>
          <w:sz w:val="22"/>
          <w:u w:val="single"/>
        </w:rPr>
        <w:t xml:space="preserve"> </w:t>
      </w:r>
      <w:r w:rsidR="00593EF4" w:rsidRPr="00593EF4">
        <w:rPr>
          <w:rFonts w:asciiTheme="minorHAnsi" w:hAnsiTheme="minorHAnsi" w:cstheme="minorHAnsi"/>
          <w:i/>
          <w:sz w:val="22"/>
        </w:rPr>
        <w:t>(no link)</w:t>
      </w:r>
    </w:p>
    <w:p w:rsidR="00796695" w:rsidRPr="0024007B" w:rsidRDefault="00F92DD0" w:rsidP="00593EF4">
      <w:pPr>
        <w:ind w:left="720"/>
        <w:rPr>
          <w:rFonts w:cstheme="minorHAnsi"/>
        </w:rPr>
      </w:pPr>
      <w:r w:rsidRPr="00612475">
        <w:rPr>
          <w:rFonts w:cstheme="minorHAnsi"/>
        </w:rPr>
        <w:t>In an effort to promote student well-being and work-life balance but also maintain the rigor of the Duke curriculum, the Duke University School of Medicine provides a basic science (MS1) curriculum that requires on average no more than 40 hours per week of required school-related activities  including</w:t>
      </w:r>
      <w:r w:rsidR="00F53CF8">
        <w:rPr>
          <w:rFonts w:cstheme="minorHAnsi"/>
        </w:rPr>
        <w:t xml:space="preserve"> in-class events and pre-work.</w:t>
      </w:r>
    </w:p>
    <w:p w:rsidR="003E215E" w:rsidRPr="00B73F2F" w:rsidRDefault="00B73F2F" w:rsidP="003E215E">
      <w:pPr>
        <w:rPr>
          <w:rStyle w:val="Hyperlink"/>
          <w:b/>
        </w:rPr>
      </w:pPr>
      <w:r>
        <w:rPr>
          <w:b/>
        </w:rPr>
        <w:fldChar w:fldCharType="begin"/>
      </w:r>
      <w:r w:rsidR="00593EF4">
        <w:rPr>
          <w:b/>
        </w:rPr>
        <w:instrText>HYPERLINK "https://registrar.duke.edu/sites/default/files/bulletins/medical/2018-19/44/index.html"</w:instrText>
      </w:r>
      <w:r>
        <w:rPr>
          <w:b/>
        </w:rPr>
        <w:fldChar w:fldCharType="separate"/>
      </w:r>
      <w:r w:rsidR="003E215E" w:rsidRPr="00B73F2F">
        <w:rPr>
          <w:rStyle w:val="Hyperlink"/>
          <w:b/>
        </w:rPr>
        <w:t>Study A</w:t>
      </w:r>
      <w:r w:rsidR="003E215E" w:rsidRPr="00B73F2F">
        <w:rPr>
          <w:rStyle w:val="Hyperlink"/>
          <w:b/>
        </w:rPr>
        <w:t>w</w:t>
      </w:r>
      <w:r w:rsidR="003E215E" w:rsidRPr="00B73F2F">
        <w:rPr>
          <w:rStyle w:val="Hyperlink"/>
          <w:b/>
        </w:rPr>
        <w:t>ay</w:t>
      </w:r>
    </w:p>
    <w:p w:rsidR="00F92DD0" w:rsidRPr="003E215E" w:rsidRDefault="00B73F2F" w:rsidP="003E215E">
      <w:pPr>
        <w:ind w:left="720"/>
        <w:rPr>
          <w:b/>
        </w:rPr>
      </w:pPr>
      <w:r>
        <w:rPr>
          <w:b/>
        </w:rPr>
        <w:fldChar w:fldCharType="end"/>
      </w:r>
      <w:r w:rsidR="003E215E" w:rsidRPr="001856A3">
        <w:t xml:space="preserve">Students who have maintained a high level of academic performance throughout their first two to three years are eligible to study at another institution and receive academic credit at Duke for this experience.  There are a series of steps that must occur and they are located </w:t>
      </w:r>
      <w:hyperlink r:id="rId15" w:anchor="44" w:history="1">
        <w:r w:rsidR="003E215E" w:rsidRPr="00B73F2F">
          <w:rPr>
            <w:rStyle w:val="Hyperlink"/>
          </w:rPr>
          <w:t>here</w:t>
        </w:r>
        <w:r w:rsidR="003E215E" w:rsidRPr="00B73F2F">
          <w:rPr>
            <w:rStyle w:val="Hyperlink"/>
            <w:b/>
          </w:rPr>
          <w:t>.</w:t>
        </w:r>
      </w:hyperlink>
    </w:p>
    <w:p w:rsidR="00F92DD0" w:rsidRPr="00982ED9" w:rsidRDefault="00DA5CE8" w:rsidP="00F92DD0">
      <w:pPr>
        <w:pStyle w:val="Heading1"/>
        <w:rPr>
          <w:rFonts w:asciiTheme="minorHAnsi" w:hAnsiTheme="minorHAnsi" w:cstheme="minorHAnsi"/>
          <w:color w:val="auto"/>
          <w:sz w:val="22"/>
          <w:szCs w:val="22"/>
        </w:rPr>
      </w:pPr>
      <w:hyperlink r:id="rId16" w:history="1">
        <w:r w:rsidR="00982ED9" w:rsidRPr="00982ED9">
          <w:rPr>
            <w:rStyle w:val="Hyperlink"/>
            <w:rFonts w:asciiTheme="minorHAnsi" w:hAnsiTheme="minorHAnsi" w:cstheme="minorHAnsi"/>
            <w:sz w:val="22"/>
            <w:szCs w:val="22"/>
          </w:rPr>
          <w:t>Preparation for Resid</w:t>
        </w:r>
        <w:r w:rsidR="00982ED9" w:rsidRPr="00982ED9">
          <w:rPr>
            <w:rStyle w:val="Hyperlink"/>
            <w:rFonts w:asciiTheme="minorHAnsi" w:hAnsiTheme="minorHAnsi" w:cstheme="minorHAnsi"/>
            <w:sz w:val="22"/>
            <w:szCs w:val="22"/>
          </w:rPr>
          <w:t>e</w:t>
        </w:r>
        <w:r w:rsidR="00982ED9" w:rsidRPr="00982ED9">
          <w:rPr>
            <w:rStyle w:val="Hyperlink"/>
            <w:rFonts w:asciiTheme="minorHAnsi" w:hAnsiTheme="minorHAnsi" w:cstheme="minorHAnsi"/>
            <w:sz w:val="22"/>
            <w:szCs w:val="22"/>
          </w:rPr>
          <w:t>nts and Other Non-Faculty for Their role as Educator</w:t>
        </w:r>
      </w:hyperlink>
    </w:p>
    <w:p w:rsidR="0024007B" w:rsidRDefault="00F92DD0" w:rsidP="0024007B">
      <w:pPr>
        <w:tabs>
          <w:tab w:val="left" w:pos="180"/>
        </w:tabs>
        <w:ind w:left="720"/>
        <w:rPr>
          <w:rFonts w:cstheme="minorHAnsi"/>
        </w:rPr>
      </w:pPr>
      <w:r w:rsidRPr="00612475">
        <w:rPr>
          <w:rFonts w:cstheme="minorHAnsi"/>
        </w:rPr>
        <w:br/>
        <w:t xml:space="preserve">The School of Medicine Curriculum Committee requires residents and others (e.g., graduate students, postdoctoral associates, etc.) who teach medical students to be oriented to and prepared for their role in teaching and assessing medical students.  </w:t>
      </w:r>
    </w:p>
    <w:p w:rsidR="0024007B" w:rsidRPr="00F53CF8" w:rsidRDefault="0024007B" w:rsidP="0024007B">
      <w:pPr>
        <w:rPr>
          <w:b/>
          <w:u w:val="single"/>
        </w:rPr>
      </w:pPr>
      <w:r w:rsidRPr="00F53CF8">
        <w:rPr>
          <w:b/>
          <w:u w:val="single"/>
        </w:rPr>
        <w:t>Time Away</w:t>
      </w:r>
    </w:p>
    <w:p w:rsidR="0024007B" w:rsidRPr="00067FC2" w:rsidRDefault="00067FC2" w:rsidP="0024007B">
      <w:pPr>
        <w:autoSpaceDE w:val="0"/>
        <w:autoSpaceDN w:val="0"/>
        <w:adjustRightInd w:val="0"/>
        <w:ind w:firstLine="720"/>
        <w:rPr>
          <w:rStyle w:val="Hyperlink"/>
        </w:rPr>
      </w:pPr>
      <w:r>
        <w:fldChar w:fldCharType="begin"/>
      </w:r>
      <w:r w:rsidR="00593EF4">
        <w:instrText>HYPERLINK "https://registrar.duke.edu/sites/default/files/bulletins/medical/2018-19/32/index.html"</w:instrText>
      </w:r>
      <w:r>
        <w:fldChar w:fldCharType="separate"/>
      </w:r>
      <w:r w:rsidR="0024007B" w:rsidRPr="00067FC2">
        <w:rPr>
          <w:rStyle w:val="Hyperlink"/>
        </w:rPr>
        <w:t>Absences-</w:t>
      </w:r>
      <w:r w:rsidR="0024007B" w:rsidRPr="00067FC2">
        <w:rPr>
          <w:rStyle w:val="Hyperlink"/>
        </w:rPr>
        <w:t xml:space="preserve"> </w:t>
      </w:r>
      <w:r w:rsidR="0024007B" w:rsidRPr="00067FC2">
        <w:rPr>
          <w:rStyle w:val="Hyperlink"/>
        </w:rPr>
        <w:t>excused and unexcused</w:t>
      </w:r>
    </w:p>
    <w:p w:rsidR="0024007B" w:rsidRPr="00B73F2F" w:rsidRDefault="00067FC2" w:rsidP="0024007B">
      <w:pPr>
        <w:autoSpaceDE w:val="0"/>
        <w:autoSpaceDN w:val="0"/>
        <w:adjustRightInd w:val="0"/>
        <w:ind w:firstLine="720"/>
        <w:rPr>
          <w:rStyle w:val="Hyperlink"/>
        </w:rPr>
      </w:pPr>
      <w:r>
        <w:fldChar w:fldCharType="end"/>
      </w:r>
      <w:r w:rsidR="00B73F2F">
        <w:fldChar w:fldCharType="begin"/>
      </w:r>
      <w:r w:rsidR="00593EF4">
        <w:instrText>HYPERLINK "https://registrar.duke.edu/sites/default/files/bulletins/medical/2018-19/36/index.html"</w:instrText>
      </w:r>
      <w:r w:rsidR="00B73F2F">
        <w:fldChar w:fldCharType="separate"/>
      </w:r>
      <w:r w:rsidR="0024007B" w:rsidRPr="00B73F2F">
        <w:rPr>
          <w:rStyle w:val="Hyperlink"/>
        </w:rPr>
        <w:t>Attendan</w:t>
      </w:r>
      <w:r w:rsidR="0024007B" w:rsidRPr="00B73F2F">
        <w:rPr>
          <w:rStyle w:val="Hyperlink"/>
        </w:rPr>
        <w:t>c</w:t>
      </w:r>
      <w:r w:rsidR="0024007B" w:rsidRPr="00B73F2F">
        <w:rPr>
          <w:rStyle w:val="Hyperlink"/>
        </w:rPr>
        <w:t>e Policy</w:t>
      </w:r>
    </w:p>
    <w:p w:rsidR="0024007B" w:rsidRPr="00593EF4" w:rsidRDefault="00B73F2F" w:rsidP="0024007B">
      <w:pPr>
        <w:autoSpaceDE w:val="0"/>
        <w:autoSpaceDN w:val="0"/>
        <w:adjustRightInd w:val="0"/>
        <w:ind w:firstLine="720"/>
        <w:rPr>
          <w:rStyle w:val="Hyperlink"/>
        </w:rPr>
      </w:pPr>
      <w:r>
        <w:fldChar w:fldCharType="end"/>
      </w:r>
      <w:r w:rsidR="00593EF4">
        <w:rPr>
          <w:rStyle w:val="Hyperlink"/>
        </w:rPr>
        <w:fldChar w:fldCharType="begin"/>
      </w:r>
      <w:r w:rsidR="00593EF4">
        <w:rPr>
          <w:rStyle w:val="Hyperlink"/>
        </w:rPr>
        <w:instrText xml:space="preserve"> HYPERLINK "https://registrar.duke.edu/sites/default/files/bulletins/medical/2018-19/44/index.html" </w:instrText>
      </w:r>
      <w:r w:rsidR="00593EF4">
        <w:rPr>
          <w:rStyle w:val="Hyperlink"/>
        </w:rPr>
        <w:fldChar w:fldCharType="separate"/>
      </w:r>
      <w:r w:rsidR="0024007B" w:rsidRPr="00593EF4">
        <w:rPr>
          <w:rStyle w:val="Hyperlink"/>
        </w:rPr>
        <w:t>Time Away Requests for Sec</w:t>
      </w:r>
      <w:r w:rsidR="0024007B" w:rsidRPr="00593EF4">
        <w:rPr>
          <w:rStyle w:val="Hyperlink"/>
        </w:rPr>
        <w:t>o</w:t>
      </w:r>
      <w:r w:rsidR="0024007B" w:rsidRPr="00593EF4">
        <w:rPr>
          <w:rStyle w:val="Hyperlink"/>
        </w:rPr>
        <w:t>nd-Year Courses</w:t>
      </w:r>
    </w:p>
    <w:p w:rsidR="0024007B" w:rsidRPr="00941A72" w:rsidRDefault="00593EF4" w:rsidP="0024007B">
      <w:pPr>
        <w:autoSpaceDE w:val="0"/>
        <w:autoSpaceDN w:val="0"/>
        <w:adjustRightInd w:val="0"/>
        <w:ind w:firstLine="720"/>
        <w:rPr>
          <w:rStyle w:val="Hyperlink"/>
        </w:rPr>
      </w:pPr>
      <w:r>
        <w:rPr>
          <w:rStyle w:val="Hyperlink"/>
        </w:rPr>
        <w:fldChar w:fldCharType="end"/>
      </w:r>
      <w:r w:rsidR="00941A72">
        <w:rPr>
          <w:rStyle w:val="Hyperlink"/>
          <w:rFonts w:cstheme="minorHAnsi"/>
        </w:rPr>
        <w:fldChar w:fldCharType="begin"/>
      </w:r>
      <w:r>
        <w:rPr>
          <w:rStyle w:val="Hyperlink"/>
          <w:rFonts w:cstheme="minorHAnsi"/>
        </w:rPr>
        <w:instrText>HYPERLINK "https://registrar.duke.edu/sites/default/files/bulletins/medical/2018-19/40/index.html"</w:instrText>
      </w:r>
      <w:r w:rsidR="00941A72">
        <w:rPr>
          <w:rStyle w:val="Hyperlink"/>
          <w:rFonts w:cstheme="minorHAnsi"/>
        </w:rPr>
        <w:fldChar w:fldCharType="separate"/>
      </w:r>
      <w:r w:rsidR="00941A72" w:rsidRPr="00941A72">
        <w:rPr>
          <w:rStyle w:val="Hyperlink"/>
          <w:rFonts w:cstheme="minorHAnsi"/>
        </w:rPr>
        <w:t xml:space="preserve">Medical </w:t>
      </w:r>
      <w:r w:rsidR="0024007B" w:rsidRPr="00941A72">
        <w:rPr>
          <w:rStyle w:val="Hyperlink"/>
          <w:rFonts w:cstheme="minorHAnsi"/>
        </w:rPr>
        <w:t>Lea</w:t>
      </w:r>
      <w:r w:rsidR="00F601C7">
        <w:rPr>
          <w:rStyle w:val="Hyperlink"/>
          <w:rFonts w:cstheme="minorHAnsi"/>
        </w:rPr>
        <w:t xml:space="preserve">ve of </w:t>
      </w:r>
      <w:r w:rsidR="00F601C7">
        <w:rPr>
          <w:rStyle w:val="Hyperlink"/>
          <w:rFonts w:cstheme="minorHAnsi"/>
        </w:rPr>
        <w:t>A</w:t>
      </w:r>
      <w:r w:rsidR="00F601C7">
        <w:rPr>
          <w:rStyle w:val="Hyperlink"/>
          <w:rFonts w:cstheme="minorHAnsi"/>
        </w:rPr>
        <w:t>bsence</w:t>
      </w:r>
    </w:p>
    <w:p w:rsidR="00AB0B34" w:rsidRPr="00F601C7" w:rsidRDefault="00941A72" w:rsidP="00F601C7">
      <w:pPr>
        <w:tabs>
          <w:tab w:val="left" w:pos="180"/>
        </w:tabs>
        <w:rPr>
          <w:rFonts w:cstheme="minorHAnsi"/>
        </w:rPr>
      </w:pPr>
      <w:r>
        <w:rPr>
          <w:rStyle w:val="Hyperlink"/>
          <w:rFonts w:cstheme="minorHAnsi"/>
        </w:rPr>
        <w:fldChar w:fldCharType="end"/>
      </w:r>
    </w:p>
    <w:sectPr w:rsidR="00AB0B34" w:rsidRPr="00F601C7" w:rsidSect="00ED7229">
      <w:pgSz w:w="12240" w:h="15840" w:code="1"/>
      <w:pgMar w:top="720" w:right="720" w:bottom="720" w:left="720" w:header="720" w:footer="36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62B7B"/>
    <w:multiLevelType w:val="hybridMultilevel"/>
    <w:tmpl w:val="AF16510E"/>
    <w:lvl w:ilvl="0" w:tplc="F800CB02">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763563"/>
    <w:multiLevelType w:val="multilevel"/>
    <w:tmpl w:val="B782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2A1218"/>
    <w:multiLevelType w:val="multilevel"/>
    <w:tmpl w:val="C1B267D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421437D9"/>
    <w:multiLevelType w:val="hybridMultilevel"/>
    <w:tmpl w:val="6ED2E1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43FB4904"/>
    <w:multiLevelType w:val="hybridMultilevel"/>
    <w:tmpl w:val="9F841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32326"/>
    <w:multiLevelType w:val="hybridMultilevel"/>
    <w:tmpl w:val="396676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503409"/>
    <w:multiLevelType w:val="hybridMultilevel"/>
    <w:tmpl w:val="EF843D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4260DF"/>
    <w:multiLevelType w:val="hybridMultilevel"/>
    <w:tmpl w:val="0EA0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9845D9"/>
    <w:multiLevelType w:val="multilevel"/>
    <w:tmpl w:val="56CC5B04"/>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start w:val="1"/>
      <w:numFmt w:val="lowerLetter"/>
      <w:lvlText w:val="%3."/>
      <w:lvlJc w:val="left"/>
      <w:pPr>
        <w:ind w:left="2340" w:hanging="360"/>
      </w:pPr>
      <w:rPr>
        <w:rFonts w:hint="default"/>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9" w15:restartNumberingAfterBreak="0">
    <w:nsid w:val="70DF7ADE"/>
    <w:multiLevelType w:val="multilevel"/>
    <w:tmpl w:val="BF2458B2"/>
    <w:lvl w:ilvl="0">
      <w:start w:val="1"/>
      <w:numFmt w:val="bullet"/>
      <w:lvlText w:val=""/>
      <w:lvlJc w:val="left"/>
      <w:pPr>
        <w:tabs>
          <w:tab w:val="num" w:pos="3150"/>
        </w:tabs>
        <w:ind w:left="3150" w:hanging="360"/>
      </w:pPr>
      <w:rPr>
        <w:rFonts w:ascii="Symbol" w:hAnsi="Symbol" w:hint="default"/>
        <w:sz w:val="20"/>
      </w:rPr>
    </w:lvl>
    <w:lvl w:ilvl="1" w:tentative="1">
      <w:start w:val="1"/>
      <w:numFmt w:val="bullet"/>
      <w:lvlText w:val="o"/>
      <w:lvlJc w:val="left"/>
      <w:pPr>
        <w:tabs>
          <w:tab w:val="num" w:pos="3870"/>
        </w:tabs>
        <w:ind w:left="3870" w:hanging="360"/>
      </w:pPr>
      <w:rPr>
        <w:rFonts w:ascii="Courier New" w:hAnsi="Courier New" w:hint="default"/>
        <w:sz w:val="20"/>
      </w:rPr>
    </w:lvl>
    <w:lvl w:ilvl="2" w:tentative="1">
      <w:start w:val="1"/>
      <w:numFmt w:val="bullet"/>
      <w:lvlText w:val=""/>
      <w:lvlJc w:val="left"/>
      <w:pPr>
        <w:tabs>
          <w:tab w:val="num" w:pos="4590"/>
        </w:tabs>
        <w:ind w:left="4590" w:hanging="360"/>
      </w:pPr>
      <w:rPr>
        <w:rFonts w:ascii="Wingdings" w:hAnsi="Wingdings" w:hint="default"/>
        <w:sz w:val="20"/>
      </w:rPr>
    </w:lvl>
    <w:lvl w:ilvl="3" w:tentative="1">
      <w:start w:val="1"/>
      <w:numFmt w:val="bullet"/>
      <w:lvlText w:val=""/>
      <w:lvlJc w:val="left"/>
      <w:pPr>
        <w:tabs>
          <w:tab w:val="num" w:pos="5310"/>
        </w:tabs>
        <w:ind w:left="5310" w:hanging="360"/>
      </w:pPr>
      <w:rPr>
        <w:rFonts w:ascii="Wingdings" w:hAnsi="Wingdings" w:hint="default"/>
        <w:sz w:val="20"/>
      </w:rPr>
    </w:lvl>
    <w:lvl w:ilvl="4" w:tentative="1">
      <w:start w:val="1"/>
      <w:numFmt w:val="bullet"/>
      <w:lvlText w:val=""/>
      <w:lvlJc w:val="left"/>
      <w:pPr>
        <w:tabs>
          <w:tab w:val="num" w:pos="6030"/>
        </w:tabs>
        <w:ind w:left="6030" w:hanging="360"/>
      </w:pPr>
      <w:rPr>
        <w:rFonts w:ascii="Wingdings" w:hAnsi="Wingdings" w:hint="default"/>
        <w:sz w:val="20"/>
      </w:rPr>
    </w:lvl>
    <w:lvl w:ilvl="5" w:tentative="1">
      <w:start w:val="1"/>
      <w:numFmt w:val="bullet"/>
      <w:lvlText w:val=""/>
      <w:lvlJc w:val="left"/>
      <w:pPr>
        <w:tabs>
          <w:tab w:val="num" w:pos="6750"/>
        </w:tabs>
        <w:ind w:left="6750" w:hanging="360"/>
      </w:pPr>
      <w:rPr>
        <w:rFonts w:ascii="Wingdings" w:hAnsi="Wingdings" w:hint="default"/>
        <w:sz w:val="20"/>
      </w:rPr>
    </w:lvl>
    <w:lvl w:ilvl="6" w:tentative="1">
      <w:start w:val="1"/>
      <w:numFmt w:val="bullet"/>
      <w:lvlText w:val=""/>
      <w:lvlJc w:val="left"/>
      <w:pPr>
        <w:tabs>
          <w:tab w:val="num" w:pos="7470"/>
        </w:tabs>
        <w:ind w:left="7470" w:hanging="360"/>
      </w:pPr>
      <w:rPr>
        <w:rFonts w:ascii="Wingdings" w:hAnsi="Wingdings" w:hint="default"/>
        <w:sz w:val="20"/>
      </w:rPr>
    </w:lvl>
    <w:lvl w:ilvl="7" w:tentative="1">
      <w:start w:val="1"/>
      <w:numFmt w:val="bullet"/>
      <w:lvlText w:val=""/>
      <w:lvlJc w:val="left"/>
      <w:pPr>
        <w:tabs>
          <w:tab w:val="num" w:pos="8190"/>
        </w:tabs>
        <w:ind w:left="8190" w:hanging="360"/>
      </w:pPr>
      <w:rPr>
        <w:rFonts w:ascii="Wingdings" w:hAnsi="Wingdings" w:hint="default"/>
        <w:sz w:val="20"/>
      </w:rPr>
    </w:lvl>
    <w:lvl w:ilvl="8" w:tentative="1">
      <w:start w:val="1"/>
      <w:numFmt w:val="bullet"/>
      <w:lvlText w:val=""/>
      <w:lvlJc w:val="left"/>
      <w:pPr>
        <w:tabs>
          <w:tab w:val="num" w:pos="8910"/>
        </w:tabs>
        <w:ind w:left="8910" w:hanging="360"/>
      </w:pPr>
      <w:rPr>
        <w:rFonts w:ascii="Wingdings" w:hAnsi="Wingdings" w:hint="default"/>
        <w:sz w:val="20"/>
      </w:rPr>
    </w:lvl>
  </w:abstractNum>
  <w:abstractNum w:abstractNumId="10" w15:restartNumberingAfterBreak="0">
    <w:nsid w:val="71E40A3A"/>
    <w:multiLevelType w:val="multilevel"/>
    <w:tmpl w:val="04826E8A"/>
    <w:lvl w:ilvl="0">
      <w:start w:val="1"/>
      <w:numFmt w:val="bullet"/>
      <w:lvlText w:val=""/>
      <w:lvlJc w:val="left"/>
      <w:pPr>
        <w:tabs>
          <w:tab w:val="num" w:pos="1050"/>
        </w:tabs>
        <w:ind w:left="1050" w:hanging="360"/>
      </w:pPr>
      <w:rPr>
        <w:rFonts w:ascii="Symbol" w:hAnsi="Symbol" w:hint="default"/>
        <w:sz w:val="20"/>
      </w:rPr>
    </w:lvl>
    <w:lvl w:ilvl="1" w:tentative="1">
      <w:start w:val="1"/>
      <w:numFmt w:val="bullet"/>
      <w:lvlText w:val="o"/>
      <w:lvlJc w:val="left"/>
      <w:pPr>
        <w:tabs>
          <w:tab w:val="num" w:pos="1770"/>
        </w:tabs>
        <w:ind w:left="1770" w:hanging="360"/>
      </w:pPr>
      <w:rPr>
        <w:rFonts w:ascii="Courier New" w:hAnsi="Courier New" w:hint="default"/>
        <w:sz w:val="20"/>
      </w:rPr>
    </w:lvl>
    <w:lvl w:ilvl="2" w:tentative="1">
      <w:start w:val="1"/>
      <w:numFmt w:val="bullet"/>
      <w:lvlText w:val=""/>
      <w:lvlJc w:val="left"/>
      <w:pPr>
        <w:tabs>
          <w:tab w:val="num" w:pos="2490"/>
        </w:tabs>
        <w:ind w:left="2490" w:hanging="360"/>
      </w:pPr>
      <w:rPr>
        <w:rFonts w:ascii="Wingdings" w:hAnsi="Wingdings" w:hint="default"/>
        <w:sz w:val="20"/>
      </w:rPr>
    </w:lvl>
    <w:lvl w:ilvl="3" w:tentative="1">
      <w:start w:val="1"/>
      <w:numFmt w:val="bullet"/>
      <w:lvlText w:val=""/>
      <w:lvlJc w:val="left"/>
      <w:pPr>
        <w:tabs>
          <w:tab w:val="num" w:pos="3210"/>
        </w:tabs>
        <w:ind w:left="3210" w:hanging="360"/>
      </w:pPr>
      <w:rPr>
        <w:rFonts w:ascii="Wingdings" w:hAnsi="Wingdings" w:hint="default"/>
        <w:sz w:val="20"/>
      </w:rPr>
    </w:lvl>
    <w:lvl w:ilvl="4" w:tentative="1">
      <w:start w:val="1"/>
      <w:numFmt w:val="bullet"/>
      <w:lvlText w:val=""/>
      <w:lvlJc w:val="left"/>
      <w:pPr>
        <w:tabs>
          <w:tab w:val="num" w:pos="3930"/>
        </w:tabs>
        <w:ind w:left="3930" w:hanging="360"/>
      </w:pPr>
      <w:rPr>
        <w:rFonts w:ascii="Wingdings" w:hAnsi="Wingdings" w:hint="default"/>
        <w:sz w:val="20"/>
      </w:rPr>
    </w:lvl>
    <w:lvl w:ilvl="5" w:tentative="1">
      <w:start w:val="1"/>
      <w:numFmt w:val="bullet"/>
      <w:lvlText w:val=""/>
      <w:lvlJc w:val="left"/>
      <w:pPr>
        <w:tabs>
          <w:tab w:val="num" w:pos="4650"/>
        </w:tabs>
        <w:ind w:left="4650" w:hanging="360"/>
      </w:pPr>
      <w:rPr>
        <w:rFonts w:ascii="Wingdings" w:hAnsi="Wingdings" w:hint="default"/>
        <w:sz w:val="20"/>
      </w:rPr>
    </w:lvl>
    <w:lvl w:ilvl="6" w:tentative="1">
      <w:start w:val="1"/>
      <w:numFmt w:val="bullet"/>
      <w:lvlText w:val=""/>
      <w:lvlJc w:val="left"/>
      <w:pPr>
        <w:tabs>
          <w:tab w:val="num" w:pos="5370"/>
        </w:tabs>
        <w:ind w:left="5370" w:hanging="360"/>
      </w:pPr>
      <w:rPr>
        <w:rFonts w:ascii="Wingdings" w:hAnsi="Wingdings" w:hint="default"/>
        <w:sz w:val="20"/>
      </w:rPr>
    </w:lvl>
    <w:lvl w:ilvl="7" w:tentative="1">
      <w:start w:val="1"/>
      <w:numFmt w:val="bullet"/>
      <w:lvlText w:val=""/>
      <w:lvlJc w:val="left"/>
      <w:pPr>
        <w:tabs>
          <w:tab w:val="num" w:pos="6090"/>
        </w:tabs>
        <w:ind w:left="6090" w:hanging="360"/>
      </w:pPr>
      <w:rPr>
        <w:rFonts w:ascii="Wingdings" w:hAnsi="Wingdings" w:hint="default"/>
        <w:sz w:val="20"/>
      </w:rPr>
    </w:lvl>
    <w:lvl w:ilvl="8" w:tentative="1">
      <w:start w:val="1"/>
      <w:numFmt w:val="bullet"/>
      <w:lvlText w:val=""/>
      <w:lvlJc w:val="left"/>
      <w:pPr>
        <w:tabs>
          <w:tab w:val="num" w:pos="6810"/>
        </w:tabs>
        <w:ind w:left="6810" w:hanging="360"/>
      </w:pPr>
      <w:rPr>
        <w:rFonts w:ascii="Wingdings" w:hAnsi="Wingdings" w:hint="default"/>
        <w:sz w:val="20"/>
      </w:rPr>
    </w:lvl>
  </w:abstractNum>
  <w:abstractNum w:abstractNumId="11" w15:restartNumberingAfterBreak="0">
    <w:nsid w:val="744D04C2"/>
    <w:multiLevelType w:val="hybridMultilevel"/>
    <w:tmpl w:val="7DFA6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8"/>
  </w:num>
  <w:num w:numId="5">
    <w:abstractNumId w:val="1"/>
  </w:num>
  <w:num w:numId="6">
    <w:abstractNumId w:val="4"/>
  </w:num>
  <w:num w:numId="7">
    <w:abstractNumId w:val="7"/>
  </w:num>
  <w:num w:numId="8">
    <w:abstractNumId w:val="3"/>
  </w:num>
  <w:num w:numId="9">
    <w:abstractNumId w:val="0"/>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D0"/>
    <w:rsid w:val="0005435E"/>
    <w:rsid w:val="00067FC2"/>
    <w:rsid w:val="0009564F"/>
    <w:rsid w:val="00096B74"/>
    <w:rsid w:val="00105708"/>
    <w:rsid w:val="00114B11"/>
    <w:rsid w:val="00166ED5"/>
    <w:rsid w:val="00182480"/>
    <w:rsid w:val="001856A3"/>
    <w:rsid w:val="001E6DE9"/>
    <w:rsid w:val="001E7884"/>
    <w:rsid w:val="001E7EB1"/>
    <w:rsid w:val="0024007B"/>
    <w:rsid w:val="002761E5"/>
    <w:rsid w:val="003E215E"/>
    <w:rsid w:val="004109E9"/>
    <w:rsid w:val="00473899"/>
    <w:rsid w:val="0056181A"/>
    <w:rsid w:val="00593EF4"/>
    <w:rsid w:val="00612475"/>
    <w:rsid w:val="00615A0A"/>
    <w:rsid w:val="00703177"/>
    <w:rsid w:val="0073590F"/>
    <w:rsid w:val="007643EE"/>
    <w:rsid w:val="00796695"/>
    <w:rsid w:val="008224D0"/>
    <w:rsid w:val="00866955"/>
    <w:rsid w:val="008A0AC6"/>
    <w:rsid w:val="00941A72"/>
    <w:rsid w:val="00975F88"/>
    <w:rsid w:val="00981D18"/>
    <w:rsid w:val="00982ED9"/>
    <w:rsid w:val="009D50D4"/>
    <w:rsid w:val="009E4412"/>
    <w:rsid w:val="00A073A2"/>
    <w:rsid w:val="00A258C4"/>
    <w:rsid w:val="00AB0B34"/>
    <w:rsid w:val="00B21547"/>
    <w:rsid w:val="00B42BDD"/>
    <w:rsid w:val="00B42D90"/>
    <w:rsid w:val="00B7328F"/>
    <w:rsid w:val="00B73F2F"/>
    <w:rsid w:val="00BE6780"/>
    <w:rsid w:val="00BF17EA"/>
    <w:rsid w:val="00C244AA"/>
    <w:rsid w:val="00CC48D5"/>
    <w:rsid w:val="00CD61D6"/>
    <w:rsid w:val="00CE192C"/>
    <w:rsid w:val="00CF3B82"/>
    <w:rsid w:val="00D057D1"/>
    <w:rsid w:val="00DB0187"/>
    <w:rsid w:val="00E41F9E"/>
    <w:rsid w:val="00E549E0"/>
    <w:rsid w:val="00E9216D"/>
    <w:rsid w:val="00EA1FF1"/>
    <w:rsid w:val="00EA3431"/>
    <w:rsid w:val="00ED7229"/>
    <w:rsid w:val="00F53CF8"/>
    <w:rsid w:val="00F601C7"/>
    <w:rsid w:val="00F92DD0"/>
    <w:rsid w:val="00FA4598"/>
    <w:rsid w:val="00FB1F04"/>
    <w:rsid w:val="00FD7E61"/>
    <w:rsid w:val="00FF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0036"/>
  <w15:docId w15:val="{A4418401-BE35-4AA3-9B77-EB420CD8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2DD0"/>
    <w:pPr>
      <w:keepNext/>
      <w:keepLines/>
      <w:spacing w:before="240" w:after="0" w:line="240" w:lineRule="auto"/>
      <w:outlineLvl w:val="0"/>
    </w:pPr>
    <w:rPr>
      <w:rFonts w:ascii="Times New Roman" w:eastAsiaTheme="majorEastAsia" w:hAnsi="Times New Roman" w:cstheme="majorBidi"/>
      <w:b/>
      <w:iCs/>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DD0"/>
    <w:rPr>
      <w:rFonts w:ascii="Times New Roman" w:eastAsiaTheme="majorEastAsia" w:hAnsi="Times New Roman" w:cstheme="majorBidi"/>
      <w:b/>
      <w:iCs/>
      <w:color w:val="000000" w:themeColor="text1"/>
      <w:sz w:val="24"/>
      <w:szCs w:val="32"/>
    </w:rPr>
  </w:style>
  <w:style w:type="paragraph" w:customStyle="1" w:styleId="SupportingDocumentationBulletedList">
    <w:name w:val="Supporting Documentation Bulleted List"/>
    <w:basedOn w:val="Normal"/>
    <w:link w:val="SupportingDocumentationBulletedListChar"/>
    <w:qFormat/>
    <w:rsid w:val="00F92DD0"/>
    <w:pPr>
      <w:spacing w:after="500" w:line="240" w:lineRule="auto"/>
    </w:pPr>
    <w:rPr>
      <w:rFonts w:ascii="Times New Roman" w:eastAsia="Calibri" w:hAnsi="Times New Roman" w:cs="Times New Roman"/>
      <w:iCs/>
      <w:sz w:val="21"/>
    </w:rPr>
  </w:style>
  <w:style w:type="character" w:customStyle="1" w:styleId="SupportingDocumentationBulletedListChar">
    <w:name w:val="Supporting Documentation Bulleted List Char"/>
    <w:link w:val="SupportingDocumentationBulletedList"/>
    <w:rsid w:val="00F92DD0"/>
    <w:rPr>
      <w:rFonts w:ascii="Times New Roman" w:eastAsia="Calibri" w:hAnsi="Times New Roman" w:cs="Times New Roman"/>
      <w:iCs/>
      <w:sz w:val="21"/>
    </w:rPr>
  </w:style>
  <w:style w:type="character" w:styleId="Hyperlink">
    <w:name w:val="Hyperlink"/>
    <w:basedOn w:val="DefaultParagraphFont"/>
    <w:uiPriority w:val="99"/>
    <w:unhideWhenUsed/>
    <w:rsid w:val="0005435E"/>
    <w:rPr>
      <w:color w:val="0000FF" w:themeColor="hyperlink"/>
      <w:u w:val="single"/>
    </w:rPr>
  </w:style>
  <w:style w:type="paragraph" w:styleId="NormalWeb">
    <w:name w:val="Normal (Web)"/>
    <w:basedOn w:val="Normal"/>
    <w:uiPriority w:val="99"/>
    <w:unhideWhenUsed/>
    <w:rsid w:val="009D50D4"/>
    <w:pPr>
      <w:spacing w:after="0" w:line="240" w:lineRule="auto"/>
    </w:pPr>
    <w:rPr>
      <w:rFonts w:ascii="Times New Roman" w:eastAsia="Calibri" w:hAnsi="Times New Roman" w:cs="Times New Roman"/>
      <w:iCs/>
      <w:sz w:val="24"/>
      <w:szCs w:val="24"/>
    </w:rPr>
  </w:style>
  <w:style w:type="paragraph" w:styleId="ListParagraph">
    <w:name w:val="List Paragraph"/>
    <w:basedOn w:val="Normal"/>
    <w:autoRedefine/>
    <w:uiPriority w:val="34"/>
    <w:qFormat/>
    <w:rsid w:val="009D50D4"/>
    <w:pPr>
      <w:widowControl w:val="0"/>
      <w:numPr>
        <w:numId w:val="9"/>
      </w:numPr>
      <w:spacing w:after="0" w:line="240" w:lineRule="auto"/>
      <w:contextualSpacing/>
    </w:pPr>
    <w:rPr>
      <w:rFonts w:ascii="Times New Roman" w:eastAsia="Calibri" w:hAnsi="Times New Roman" w:cs="Times New Roman"/>
      <w:b/>
      <w:iCs/>
    </w:rPr>
  </w:style>
  <w:style w:type="paragraph" w:styleId="NoSpacing">
    <w:name w:val="No Spacing"/>
    <w:basedOn w:val="Normal"/>
    <w:uiPriority w:val="1"/>
    <w:qFormat/>
    <w:rsid w:val="009D50D4"/>
    <w:pPr>
      <w:spacing w:after="0" w:line="240" w:lineRule="auto"/>
    </w:pPr>
    <w:rPr>
      <w:rFonts w:ascii="Calibri" w:hAnsi="Calibri" w:cs="Calibri"/>
    </w:rPr>
  </w:style>
  <w:style w:type="character" w:styleId="Strong">
    <w:name w:val="Strong"/>
    <w:uiPriority w:val="22"/>
    <w:qFormat/>
    <w:rsid w:val="00C244AA"/>
  </w:style>
  <w:style w:type="paragraph" w:styleId="BodyText">
    <w:name w:val="Body Text"/>
    <w:aliases w:val="A - Body text"/>
    <w:basedOn w:val="Normal"/>
    <w:link w:val="BodyTextChar"/>
    <w:uiPriority w:val="1"/>
    <w:qFormat/>
    <w:rsid w:val="00C244AA"/>
    <w:pPr>
      <w:spacing w:after="120" w:line="240" w:lineRule="auto"/>
    </w:pPr>
    <w:rPr>
      <w:rFonts w:ascii="Times New Roman" w:eastAsia="Calibri" w:hAnsi="Times New Roman" w:cs="Times New Roman"/>
      <w:iCs/>
    </w:rPr>
  </w:style>
  <w:style w:type="character" w:customStyle="1" w:styleId="BodyTextChar">
    <w:name w:val="Body Text Char"/>
    <w:aliases w:val="A - Body text Char"/>
    <w:basedOn w:val="DefaultParagraphFont"/>
    <w:link w:val="BodyText"/>
    <w:uiPriority w:val="1"/>
    <w:rsid w:val="00C244AA"/>
    <w:rPr>
      <w:rFonts w:ascii="Times New Roman" w:eastAsia="Calibri" w:hAnsi="Times New Roman" w:cs="Times New Roman"/>
      <w:iCs/>
    </w:rPr>
  </w:style>
  <w:style w:type="character" w:styleId="FollowedHyperlink">
    <w:name w:val="FollowedHyperlink"/>
    <w:basedOn w:val="DefaultParagraphFont"/>
    <w:uiPriority w:val="99"/>
    <w:semiHidden/>
    <w:unhideWhenUsed/>
    <w:rsid w:val="00B42BDD"/>
    <w:rPr>
      <w:color w:val="800080" w:themeColor="followedHyperlink"/>
      <w:u w:val="single"/>
    </w:rPr>
  </w:style>
  <w:style w:type="paragraph" w:styleId="BalloonText">
    <w:name w:val="Balloon Text"/>
    <w:basedOn w:val="Normal"/>
    <w:link w:val="BalloonTextChar"/>
    <w:uiPriority w:val="99"/>
    <w:semiHidden/>
    <w:unhideWhenUsed/>
    <w:rsid w:val="009E4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12"/>
    <w:rPr>
      <w:rFonts w:ascii="Tahoma" w:hAnsi="Tahoma" w:cs="Tahoma"/>
      <w:sz w:val="16"/>
      <w:szCs w:val="16"/>
    </w:rPr>
  </w:style>
  <w:style w:type="character" w:styleId="CommentReference">
    <w:name w:val="annotation reference"/>
    <w:basedOn w:val="DefaultParagraphFont"/>
    <w:uiPriority w:val="99"/>
    <w:semiHidden/>
    <w:unhideWhenUsed/>
    <w:rsid w:val="001E7EB1"/>
    <w:rPr>
      <w:sz w:val="16"/>
      <w:szCs w:val="16"/>
    </w:rPr>
  </w:style>
  <w:style w:type="paragraph" w:styleId="CommentText">
    <w:name w:val="annotation text"/>
    <w:basedOn w:val="Normal"/>
    <w:link w:val="CommentTextChar"/>
    <w:uiPriority w:val="99"/>
    <w:semiHidden/>
    <w:unhideWhenUsed/>
    <w:rsid w:val="001E7EB1"/>
    <w:pPr>
      <w:spacing w:line="240" w:lineRule="auto"/>
    </w:pPr>
    <w:rPr>
      <w:sz w:val="20"/>
      <w:szCs w:val="20"/>
    </w:rPr>
  </w:style>
  <w:style w:type="character" w:customStyle="1" w:styleId="CommentTextChar">
    <w:name w:val="Comment Text Char"/>
    <w:basedOn w:val="DefaultParagraphFont"/>
    <w:link w:val="CommentText"/>
    <w:uiPriority w:val="99"/>
    <w:semiHidden/>
    <w:rsid w:val="001E7EB1"/>
    <w:rPr>
      <w:sz w:val="20"/>
      <w:szCs w:val="20"/>
    </w:rPr>
  </w:style>
  <w:style w:type="paragraph" w:styleId="CommentSubject">
    <w:name w:val="annotation subject"/>
    <w:basedOn w:val="CommentText"/>
    <w:next w:val="CommentText"/>
    <w:link w:val="CommentSubjectChar"/>
    <w:uiPriority w:val="99"/>
    <w:semiHidden/>
    <w:unhideWhenUsed/>
    <w:rsid w:val="001E7EB1"/>
    <w:rPr>
      <w:b/>
      <w:bCs/>
    </w:rPr>
  </w:style>
  <w:style w:type="character" w:customStyle="1" w:styleId="CommentSubjectChar">
    <w:name w:val="Comment Subject Char"/>
    <w:basedOn w:val="CommentTextChar"/>
    <w:link w:val="CommentSubject"/>
    <w:uiPriority w:val="99"/>
    <w:semiHidden/>
    <w:rsid w:val="001E7E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409437">
      <w:bodyDiv w:val="1"/>
      <w:marLeft w:val="0"/>
      <w:marRight w:val="0"/>
      <w:marTop w:val="0"/>
      <w:marBottom w:val="0"/>
      <w:divBdr>
        <w:top w:val="none" w:sz="0" w:space="0" w:color="auto"/>
        <w:left w:val="none" w:sz="0" w:space="0" w:color="auto"/>
        <w:bottom w:val="none" w:sz="0" w:space="0" w:color="auto"/>
        <w:right w:val="none" w:sz="0" w:space="0" w:color="auto"/>
      </w:divBdr>
    </w:div>
    <w:div w:id="983854311">
      <w:bodyDiv w:val="1"/>
      <w:marLeft w:val="0"/>
      <w:marRight w:val="0"/>
      <w:marTop w:val="0"/>
      <w:marBottom w:val="0"/>
      <w:divBdr>
        <w:top w:val="none" w:sz="0" w:space="0" w:color="auto"/>
        <w:left w:val="none" w:sz="0" w:space="0" w:color="auto"/>
        <w:bottom w:val="none" w:sz="0" w:space="0" w:color="auto"/>
        <w:right w:val="none" w:sz="0" w:space="0" w:color="auto"/>
      </w:divBdr>
      <w:divsChild>
        <w:div w:id="1935045805">
          <w:marLeft w:val="0"/>
          <w:marRight w:val="0"/>
          <w:marTop w:val="0"/>
          <w:marBottom w:val="0"/>
          <w:divBdr>
            <w:top w:val="none" w:sz="0" w:space="0" w:color="auto"/>
            <w:left w:val="none" w:sz="0" w:space="0" w:color="auto"/>
            <w:bottom w:val="none" w:sz="0" w:space="0" w:color="auto"/>
            <w:right w:val="none" w:sz="0" w:space="0" w:color="auto"/>
          </w:divBdr>
        </w:div>
        <w:div w:id="861867806">
          <w:marLeft w:val="0"/>
          <w:marRight w:val="0"/>
          <w:marTop w:val="0"/>
          <w:marBottom w:val="0"/>
          <w:divBdr>
            <w:top w:val="none" w:sz="0" w:space="0" w:color="auto"/>
            <w:left w:val="none" w:sz="0" w:space="0" w:color="auto"/>
            <w:bottom w:val="none" w:sz="0" w:space="0" w:color="auto"/>
            <w:right w:val="none" w:sz="0" w:space="0" w:color="auto"/>
          </w:divBdr>
        </w:div>
        <w:div w:id="120462840">
          <w:marLeft w:val="0"/>
          <w:marRight w:val="0"/>
          <w:marTop w:val="0"/>
          <w:marBottom w:val="0"/>
          <w:divBdr>
            <w:top w:val="none" w:sz="0" w:space="0" w:color="auto"/>
            <w:left w:val="none" w:sz="0" w:space="0" w:color="auto"/>
            <w:bottom w:val="none" w:sz="0" w:space="0" w:color="auto"/>
            <w:right w:val="none" w:sz="0" w:space="0" w:color="auto"/>
          </w:divBdr>
        </w:div>
        <w:div w:id="936988792">
          <w:marLeft w:val="0"/>
          <w:marRight w:val="0"/>
          <w:marTop w:val="0"/>
          <w:marBottom w:val="0"/>
          <w:divBdr>
            <w:top w:val="none" w:sz="0" w:space="0" w:color="auto"/>
            <w:left w:val="none" w:sz="0" w:space="0" w:color="auto"/>
            <w:bottom w:val="none" w:sz="0" w:space="0" w:color="auto"/>
            <w:right w:val="none" w:sz="0" w:space="0" w:color="auto"/>
          </w:divBdr>
        </w:div>
        <w:div w:id="846677382">
          <w:marLeft w:val="0"/>
          <w:marRight w:val="0"/>
          <w:marTop w:val="0"/>
          <w:marBottom w:val="0"/>
          <w:divBdr>
            <w:top w:val="none" w:sz="0" w:space="0" w:color="auto"/>
            <w:left w:val="none" w:sz="0" w:space="0" w:color="auto"/>
            <w:bottom w:val="none" w:sz="0" w:space="0" w:color="auto"/>
            <w:right w:val="none" w:sz="0" w:space="0" w:color="auto"/>
          </w:divBdr>
        </w:div>
        <w:div w:id="880367248">
          <w:marLeft w:val="0"/>
          <w:marRight w:val="0"/>
          <w:marTop w:val="0"/>
          <w:marBottom w:val="0"/>
          <w:divBdr>
            <w:top w:val="none" w:sz="0" w:space="0" w:color="auto"/>
            <w:left w:val="none" w:sz="0" w:space="0" w:color="auto"/>
            <w:bottom w:val="none" w:sz="0" w:space="0" w:color="auto"/>
            <w:right w:val="none" w:sz="0" w:space="0" w:color="auto"/>
          </w:divBdr>
        </w:div>
        <w:div w:id="1835871907">
          <w:marLeft w:val="0"/>
          <w:marRight w:val="0"/>
          <w:marTop w:val="0"/>
          <w:marBottom w:val="0"/>
          <w:divBdr>
            <w:top w:val="none" w:sz="0" w:space="0" w:color="auto"/>
            <w:left w:val="none" w:sz="0" w:space="0" w:color="auto"/>
            <w:bottom w:val="none" w:sz="0" w:space="0" w:color="auto"/>
            <w:right w:val="none" w:sz="0" w:space="0" w:color="auto"/>
          </w:divBdr>
        </w:div>
        <w:div w:id="856582127">
          <w:marLeft w:val="0"/>
          <w:marRight w:val="0"/>
          <w:marTop w:val="0"/>
          <w:marBottom w:val="0"/>
          <w:divBdr>
            <w:top w:val="none" w:sz="0" w:space="0" w:color="auto"/>
            <w:left w:val="none" w:sz="0" w:space="0" w:color="auto"/>
            <w:bottom w:val="none" w:sz="0" w:space="0" w:color="auto"/>
            <w:right w:val="none" w:sz="0" w:space="0" w:color="auto"/>
          </w:divBdr>
        </w:div>
        <w:div w:id="1588730537">
          <w:marLeft w:val="0"/>
          <w:marRight w:val="0"/>
          <w:marTop w:val="0"/>
          <w:marBottom w:val="0"/>
          <w:divBdr>
            <w:top w:val="none" w:sz="0" w:space="0" w:color="auto"/>
            <w:left w:val="none" w:sz="0" w:space="0" w:color="auto"/>
            <w:bottom w:val="none" w:sz="0" w:space="0" w:color="auto"/>
            <w:right w:val="none" w:sz="0" w:space="0" w:color="auto"/>
          </w:divBdr>
        </w:div>
        <w:div w:id="1552494559">
          <w:marLeft w:val="0"/>
          <w:marRight w:val="0"/>
          <w:marTop w:val="0"/>
          <w:marBottom w:val="0"/>
          <w:divBdr>
            <w:top w:val="none" w:sz="0" w:space="0" w:color="auto"/>
            <w:left w:val="none" w:sz="0" w:space="0" w:color="auto"/>
            <w:bottom w:val="none" w:sz="0" w:space="0" w:color="auto"/>
            <w:right w:val="none" w:sz="0" w:space="0" w:color="auto"/>
          </w:divBdr>
        </w:div>
        <w:div w:id="643892526">
          <w:marLeft w:val="0"/>
          <w:marRight w:val="0"/>
          <w:marTop w:val="0"/>
          <w:marBottom w:val="0"/>
          <w:divBdr>
            <w:top w:val="none" w:sz="0" w:space="0" w:color="auto"/>
            <w:left w:val="none" w:sz="0" w:space="0" w:color="auto"/>
            <w:bottom w:val="none" w:sz="0" w:space="0" w:color="auto"/>
            <w:right w:val="none" w:sz="0" w:space="0" w:color="auto"/>
          </w:divBdr>
        </w:div>
        <w:div w:id="772481701">
          <w:marLeft w:val="0"/>
          <w:marRight w:val="0"/>
          <w:marTop w:val="0"/>
          <w:marBottom w:val="0"/>
          <w:divBdr>
            <w:top w:val="none" w:sz="0" w:space="0" w:color="auto"/>
            <w:left w:val="none" w:sz="0" w:space="0" w:color="auto"/>
            <w:bottom w:val="none" w:sz="0" w:space="0" w:color="auto"/>
            <w:right w:val="none" w:sz="0" w:space="0" w:color="auto"/>
          </w:divBdr>
        </w:div>
        <w:div w:id="336465861">
          <w:marLeft w:val="0"/>
          <w:marRight w:val="0"/>
          <w:marTop w:val="0"/>
          <w:marBottom w:val="0"/>
          <w:divBdr>
            <w:top w:val="none" w:sz="0" w:space="0" w:color="auto"/>
            <w:left w:val="none" w:sz="0" w:space="0" w:color="auto"/>
            <w:bottom w:val="none" w:sz="0" w:space="0" w:color="auto"/>
            <w:right w:val="none" w:sz="0" w:space="0" w:color="auto"/>
          </w:divBdr>
        </w:div>
        <w:div w:id="176844791">
          <w:marLeft w:val="0"/>
          <w:marRight w:val="0"/>
          <w:marTop w:val="0"/>
          <w:marBottom w:val="0"/>
          <w:divBdr>
            <w:top w:val="none" w:sz="0" w:space="0" w:color="auto"/>
            <w:left w:val="none" w:sz="0" w:space="0" w:color="auto"/>
            <w:bottom w:val="none" w:sz="0" w:space="0" w:color="auto"/>
            <w:right w:val="none" w:sz="0" w:space="0" w:color="auto"/>
          </w:divBdr>
        </w:div>
        <w:div w:id="1980256145">
          <w:marLeft w:val="0"/>
          <w:marRight w:val="0"/>
          <w:marTop w:val="0"/>
          <w:marBottom w:val="0"/>
          <w:divBdr>
            <w:top w:val="none" w:sz="0" w:space="0" w:color="auto"/>
            <w:left w:val="none" w:sz="0" w:space="0" w:color="auto"/>
            <w:bottom w:val="none" w:sz="0" w:space="0" w:color="auto"/>
            <w:right w:val="none" w:sz="0" w:space="0" w:color="auto"/>
          </w:divBdr>
        </w:div>
        <w:div w:id="389767704">
          <w:marLeft w:val="0"/>
          <w:marRight w:val="0"/>
          <w:marTop w:val="0"/>
          <w:marBottom w:val="0"/>
          <w:divBdr>
            <w:top w:val="none" w:sz="0" w:space="0" w:color="auto"/>
            <w:left w:val="none" w:sz="0" w:space="0" w:color="auto"/>
            <w:bottom w:val="none" w:sz="0" w:space="0" w:color="auto"/>
            <w:right w:val="none" w:sz="0" w:space="0" w:color="auto"/>
          </w:divBdr>
        </w:div>
        <w:div w:id="1507406334">
          <w:marLeft w:val="0"/>
          <w:marRight w:val="0"/>
          <w:marTop w:val="0"/>
          <w:marBottom w:val="0"/>
          <w:divBdr>
            <w:top w:val="none" w:sz="0" w:space="0" w:color="auto"/>
            <w:left w:val="none" w:sz="0" w:space="0" w:color="auto"/>
            <w:bottom w:val="none" w:sz="0" w:space="0" w:color="auto"/>
            <w:right w:val="none" w:sz="0" w:space="0" w:color="auto"/>
          </w:divBdr>
        </w:div>
        <w:div w:id="2073965965">
          <w:marLeft w:val="0"/>
          <w:marRight w:val="0"/>
          <w:marTop w:val="0"/>
          <w:marBottom w:val="0"/>
          <w:divBdr>
            <w:top w:val="none" w:sz="0" w:space="0" w:color="auto"/>
            <w:left w:val="none" w:sz="0" w:space="0" w:color="auto"/>
            <w:bottom w:val="none" w:sz="0" w:space="0" w:color="auto"/>
            <w:right w:val="none" w:sz="0" w:space="0" w:color="auto"/>
          </w:divBdr>
        </w:div>
        <w:div w:id="1815246610">
          <w:marLeft w:val="0"/>
          <w:marRight w:val="0"/>
          <w:marTop w:val="0"/>
          <w:marBottom w:val="0"/>
          <w:divBdr>
            <w:top w:val="none" w:sz="0" w:space="0" w:color="auto"/>
            <w:left w:val="none" w:sz="0" w:space="0" w:color="auto"/>
            <w:bottom w:val="none" w:sz="0" w:space="0" w:color="auto"/>
            <w:right w:val="none" w:sz="0" w:space="0" w:color="auto"/>
          </w:divBdr>
        </w:div>
        <w:div w:id="556741534">
          <w:marLeft w:val="0"/>
          <w:marRight w:val="0"/>
          <w:marTop w:val="0"/>
          <w:marBottom w:val="0"/>
          <w:divBdr>
            <w:top w:val="none" w:sz="0" w:space="0" w:color="auto"/>
            <w:left w:val="none" w:sz="0" w:space="0" w:color="auto"/>
            <w:bottom w:val="none" w:sz="0" w:space="0" w:color="auto"/>
            <w:right w:val="none" w:sz="0" w:space="0" w:color="auto"/>
          </w:divBdr>
        </w:div>
        <w:div w:id="1496796062">
          <w:marLeft w:val="0"/>
          <w:marRight w:val="0"/>
          <w:marTop w:val="0"/>
          <w:marBottom w:val="0"/>
          <w:divBdr>
            <w:top w:val="none" w:sz="0" w:space="0" w:color="auto"/>
            <w:left w:val="none" w:sz="0" w:space="0" w:color="auto"/>
            <w:bottom w:val="none" w:sz="0" w:space="0" w:color="auto"/>
            <w:right w:val="none" w:sz="0" w:space="0" w:color="auto"/>
          </w:divBdr>
        </w:div>
        <w:div w:id="2059082038">
          <w:marLeft w:val="0"/>
          <w:marRight w:val="0"/>
          <w:marTop w:val="0"/>
          <w:marBottom w:val="0"/>
          <w:divBdr>
            <w:top w:val="none" w:sz="0" w:space="0" w:color="auto"/>
            <w:left w:val="none" w:sz="0" w:space="0" w:color="auto"/>
            <w:bottom w:val="none" w:sz="0" w:space="0" w:color="auto"/>
            <w:right w:val="none" w:sz="0" w:space="0" w:color="auto"/>
          </w:divBdr>
        </w:div>
        <w:div w:id="1111441439">
          <w:marLeft w:val="0"/>
          <w:marRight w:val="0"/>
          <w:marTop w:val="0"/>
          <w:marBottom w:val="0"/>
          <w:divBdr>
            <w:top w:val="none" w:sz="0" w:space="0" w:color="auto"/>
            <w:left w:val="none" w:sz="0" w:space="0" w:color="auto"/>
            <w:bottom w:val="none" w:sz="0" w:space="0" w:color="auto"/>
            <w:right w:val="none" w:sz="0" w:space="0" w:color="auto"/>
          </w:divBdr>
        </w:div>
        <w:div w:id="279801101">
          <w:marLeft w:val="0"/>
          <w:marRight w:val="0"/>
          <w:marTop w:val="0"/>
          <w:marBottom w:val="0"/>
          <w:divBdr>
            <w:top w:val="none" w:sz="0" w:space="0" w:color="auto"/>
            <w:left w:val="none" w:sz="0" w:space="0" w:color="auto"/>
            <w:bottom w:val="none" w:sz="0" w:space="0" w:color="auto"/>
            <w:right w:val="none" w:sz="0" w:space="0" w:color="auto"/>
          </w:divBdr>
        </w:div>
        <w:div w:id="629165799">
          <w:marLeft w:val="0"/>
          <w:marRight w:val="0"/>
          <w:marTop w:val="0"/>
          <w:marBottom w:val="0"/>
          <w:divBdr>
            <w:top w:val="none" w:sz="0" w:space="0" w:color="auto"/>
            <w:left w:val="none" w:sz="0" w:space="0" w:color="auto"/>
            <w:bottom w:val="none" w:sz="0" w:space="0" w:color="auto"/>
            <w:right w:val="none" w:sz="0" w:space="0" w:color="auto"/>
          </w:divBdr>
        </w:div>
        <w:div w:id="7875809">
          <w:marLeft w:val="0"/>
          <w:marRight w:val="0"/>
          <w:marTop w:val="0"/>
          <w:marBottom w:val="0"/>
          <w:divBdr>
            <w:top w:val="none" w:sz="0" w:space="0" w:color="auto"/>
            <w:left w:val="none" w:sz="0" w:space="0" w:color="auto"/>
            <w:bottom w:val="none" w:sz="0" w:space="0" w:color="auto"/>
            <w:right w:val="none" w:sz="0" w:space="0" w:color="auto"/>
          </w:divBdr>
        </w:div>
        <w:div w:id="1245991484">
          <w:marLeft w:val="0"/>
          <w:marRight w:val="0"/>
          <w:marTop w:val="0"/>
          <w:marBottom w:val="0"/>
          <w:divBdr>
            <w:top w:val="none" w:sz="0" w:space="0" w:color="auto"/>
            <w:left w:val="none" w:sz="0" w:space="0" w:color="auto"/>
            <w:bottom w:val="none" w:sz="0" w:space="0" w:color="auto"/>
            <w:right w:val="none" w:sz="0" w:space="0" w:color="auto"/>
          </w:divBdr>
        </w:div>
        <w:div w:id="1558010383">
          <w:marLeft w:val="0"/>
          <w:marRight w:val="0"/>
          <w:marTop w:val="0"/>
          <w:marBottom w:val="0"/>
          <w:divBdr>
            <w:top w:val="none" w:sz="0" w:space="0" w:color="auto"/>
            <w:left w:val="none" w:sz="0" w:space="0" w:color="auto"/>
            <w:bottom w:val="none" w:sz="0" w:space="0" w:color="auto"/>
            <w:right w:val="none" w:sz="0" w:space="0" w:color="auto"/>
          </w:divBdr>
        </w:div>
        <w:div w:id="107165478">
          <w:marLeft w:val="0"/>
          <w:marRight w:val="0"/>
          <w:marTop w:val="0"/>
          <w:marBottom w:val="0"/>
          <w:divBdr>
            <w:top w:val="none" w:sz="0" w:space="0" w:color="auto"/>
            <w:left w:val="none" w:sz="0" w:space="0" w:color="auto"/>
            <w:bottom w:val="none" w:sz="0" w:space="0" w:color="auto"/>
            <w:right w:val="none" w:sz="0" w:space="0" w:color="auto"/>
          </w:divBdr>
        </w:div>
        <w:div w:id="1099179112">
          <w:marLeft w:val="0"/>
          <w:marRight w:val="0"/>
          <w:marTop w:val="0"/>
          <w:marBottom w:val="0"/>
          <w:divBdr>
            <w:top w:val="none" w:sz="0" w:space="0" w:color="auto"/>
            <w:left w:val="none" w:sz="0" w:space="0" w:color="auto"/>
            <w:bottom w:val="none" w:sz="0" w:space="0" w:color="auto"/>
            <w:right w:val="none" w:sz="0" w:space="0" w:color="auto"/>
          </w:divBdr>
        </w:div>
        <w:div w:id="1245184219">
          <w:marLeft w:val="0"/>
          <w:marRight w:val="0"/>
          <w:marTop w:val="0"/>
          <w:marBottom w:val="0"/>
          <w:divBdr>
            <w:top w:val="none" w:sz="0" w:space="0" w:color="auto"/>
            <w:left w:val="none" w:sz="0" w:space="0" w:color="auto"/>
            <w:bottom w:val="none" w:sz="0" w:space="0" w:color="auto"/>
            <w:right w:val="none" w:sz="0" w:space="0" w:color="auto"/>
          </w:divBdr>
        </w:div>
        <w:div w:id="1612928725">
          <w:marLeft w:val="0"/>
          <w:marRight w:val="0"/>
          <w:marTop w:val="0"/>
          <w:marBottom w:val="0"/>
          <w:divBdr>
            <w:top w:val="none" w:sz="0" w:space="0" w:color="auto"/>
            <w:left w:val="none" w:sz="0" w:space="0" w:color="auto"/>
            <w:bottom w:val="none" w:sz="0" w:space="0" w:color="auto"/>
            <w:right w:val="none" w:sz="0" w:space="0" w:color="auto"/>
          </w:divBdr>
        </w:div>
        <w:div w:id="1008488180">
          <w:marLeft w:val="0"/>
          <w:marRight w:val="0"/>
          <w:marTop w:val="0"/>
          <w:marBottom w:val="0"/>
          <w:divBdr>
            <w:top w:val="none" w:sz="0" w:space="0" w:color="auto"/>
            <w:left w:val="none" w:sz="0" w:space="0" w:color="auto"/>
            <w:bottom w:val="none" w:sz="0" w:space="0" w:color="auto"/>
            <w:right w:val="none" w:sz="0" w:space="0" w:color="auto"/>
          </w:divBdr>
        </w:div>
        <w:div w:id="392310064">
          <w:marLeft w:val="0"/>
          <w:marRight w:val="0"/>
          <w:marTop w:val="0"/>
          <w:marBottom w:val="0"/>
          <w:divBdr>
            <w:top w:val="none" w:sz="0" w:space="0" w:color="auto"/>
            <w:left w:val="none" w:sz="0" w:space="0" w:color="auto"/>
            <w:bottom w:val="none" w:sz="0" w:space="0" w:color="auto"/>
            <w:right w:val="none" w:sz="0" w:space="0" w:color="auto"/>
          </w:divBdr>
        </w:div>
        <w:div w:id="353456905">
          <w:marLeft w:val="0"/>
          <w:marRight w:val="0"/>
          <w:marTop w:val="0"/>
          <w:marBottom w:val="0"/>
          <w:divBdr>
            <w:top w:val="none" w:sz="0" w:space="0" w:color="auto"/>
            <w:left w:val="none" w:sz="0" w:space="0" w:color="auto"/>
            <w:bottom w:val="none" w:sz="0" w:space="0" w:color="auto"/>
            <w:right w:val="none" w:sz="0" w:space="0" w:color="auto"/>
          </w:divBdr>
        </w:div>
        <w:div w:id="27232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duke.edu/sites/default/files/bulletins/medical/2018-19/50/index.html" TargetMode="External"/><Relationship Id="rId13" Type="http://schemas.openxmlformats.org/officeDocument/2006/relationships/hyperlink" Target="https://registrar.duke.edu/sites/default/files/bulletins/medical/2018-19/40/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school.duke.edu/education/student-services/medical-education-administration/safety-resources" TargetMode="External"/><Relationship Id="rId12" Type="http://schemas.openxmlformats.org/officeDocument/2006/relationships/hyperlink" Target="https://registrar.duke.edu/sites/default/files/bulletins/medical/2018-19/40/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gistrar.duke.edu/sites/default/files/bulletins/medical/2018-19/40/index.html" TargetMode="External"/><Relationship Id="rId1" Type="http://schemas.openxmlformats.org/officeDocument/2006/relationships/numbering" Target="numbering.xml"/><Relationship Id="rId6" Type="http://schemas.openxmlformats.org/officeDocument/2006/relationships/hyperlink" Target="https://oie.duke.edu/sites/default/files/u33/consensual_relationship_policy_13May2019.pdf" TargetMode="External"/><Relationship Id="rId11" Type="http://schemas.openxmlformats.org/officeDocument/2006/relationships/hyperlink" Target="https://registrar.duke.edu/sites/default/files/bulletins/medical/2018-19/38/index.html" TargetMode="External"/><Relationship Id="rId5" Type="http://schemas.openxmlformats.org/officeDocument/2006/relationships/hyperlink" Target="https://registrar.duke.edu/sites/default/files/bulletins/medical/2018-19/34/index.html" TargetMode="External"/><Relationship Id="rId15" Type="http://schemas.openxmlformats.org/officeDocument/2006/relationships/hyperlink" Target="https://registrar.duke.edu/sites/default/files/medical/2017-18/index.html" TargetMode="External"/><Relationship Id="rId10" Type="http://schemas.openxmlformats.org/officeDocument/2006/relationships/hyperlink" Target="https://registrar.duke.edu/sites/default/files/bulletins/medical/2018-19/38/index.html" TargetMode="External"/><Relationship Id="rId4" Type="http://schemas.openxmlformats.org/officeDocument/2006/relationships/webSettings" Target="webSettings.xml"/><Relationship Id="rId9" Type="http://schemas.openxmlformats.org/officeDocument/2006/relationships/hyperlink" Target="https://medschool.duke.edu/education/student-services/office-registrar/student-services-and-resources" TargetMode="External"/><Relationship Id="rId14" Type="http://schemas.openxmlformats.org/officeDocument/2006/relationships/hyperlink" Target="https://medschool.duke.edu/sites/medschool.duke.edu/files/field/attachments/som_social_media_guidelines.02.01.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Ward</dc:creator>
  <cp:lastModifiedBy>Amy Ward</cp:lastModifiedBy>
  <cp:revision>3</cp:revision>
  <cp:lastPrinted>2017-06-13T13:58:00Z</cp:lastPrinted>
  <dcterms:created xsi:type="dcterms:W3CDTF">2020-02-03T14:30:00Z</dcterms:created>
  <dcterms:modified xsi:type="dcterms:W3CDTF">2020-02-03T14:43:00Z</dcterms:modified>
</cp:coreProperties>
</file>