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19" w:rsidRPr="003961E5" w:rsidRDefault="0039797C" w:rsidP="0039797C">
      <w:pPr>
        <w:jc w:val="center"/>
        <w:rPr>
          <w:b/>
          <w:color w:val="1F497D" w:themeColor="text2"/>
          <w:u w:val="single"/>
        </w:rPr>
      </w:pPr>
      <w:r w:rsidRPr="003961E5">
        <w:rPr>
          <w:b/>
          <w:color w:val="1F497D" w:themeColor="text2"/>
          <w:u w:val="single"/>
        </w:rPr>
        <w:t>School of Medicine Equipment Transfer User Documentation</w:t>
      </w:r>
    </w:p>
    <w:p w:rsidR="003C7928" w:rsidRDefault="004F2238" w:rsidP="003C7928">
      <w:pPr>
        <w:pStyle w:val="ListParagraph"/>
      </w:pPr>
      <w:r>
        <w:t>After entering the equipment into the online asset disposition tool complete the online SOM equipment transfer request form by f</w:t>
      </w:r>
      <w:r w:rsidR="00FF26C3">
        <w:t>ollowing the steps below</w:t>
      </w:r>
      <w:r w:rsidR="00883F24">
        <w:t xml:space="preserve"> (#1-4</w:t>
      </w:r>
      <w:r w:rsidR="003C7928">
        <w:t>)</w:t>
      </w:r>
      <w:r>
        <w:t>.  E</w:t>
      </w:r>
      <w:r w:rsidR="003C7928">
        <w:t xml:space="preserve">nter </w:t>
      </w:r>
      <w:r>
        <w:t xml:space="preserve">the same equipment list into each of the forms. </w:t>
      </w:r>
    </w:p>
    <w:p w:rsidR="004F2238" w:rsidRDefault="004F2238" w:rsidP="003C7928">
      <w:pPr>
        <w:pStyle w:val="ListParagraph"/>
      </w:pPr>
    </w:p>
    <w:p w:rsidR="004F2238" w:rsidRDefault="007652EE" w:rsidP="004F2238">
      <w:pPr>
        <w:pStyle w:val="ListParagraph"/>
        <w:numPr>
          <w:ilvl w:val="0"/>
          <w:numId w:val="3"/>
        </w:numPr>
      </w:pPr>
      <w:hyperlink r:id="rId6" w:history="1">
        <w:r w:rsidR="004F2238" w:rsidRPr="0039797C">
          <w:rPr>
            <w:rStyle w:val="Hyperlink"/>
          </w:rPr>
          <w:t>Create a new request.</w:t>
        </w:r>
      </w:hyperlink>
    </w:p>
    <w:p w:rsidR="004F2238" w:rsidRDefault="004F2238" w:rsidP="003C7928">
      <w:pPr>
        <w:pStyle w:val="ListParagraph"/>
      </w:pPr>
    </w:p>
    <w:p w:rsidR="0039797C" w:rsidRDefault="00FF26C3" w:rsidP="006472AD">
      <w:pPr>
        <w:pStyle w:val="ListParagraph"/>
        <w:numPr>
          <w:ilvl w:val="0"/>
          <w:numId w:val="1"/>
        </w:numPr>
      </w:pPr>
      <w:r w:rsidRPr="00FF26C3">
        <w:rPr>
          <w:b/>
        </w:rPr>
        <w:t>Requesting Section</w:t>
      </w:r>
      <w:r>
        <w:t xml:space="preserve">: </w:t>
      </w:r>
      <w:r w:rsidR="00C9270D">
        <w:t>Click on the respective book icon to enter the PI, Business Manager, Business Manager Designee, and Chair, Center or Institute Director.</w:t>
      </w:r>
    </w:p>
    <w:p w:rsidR="00FF26C3" w:rsidRDefault="00FF26C3" w:rsidP="003961E5">
      <w:pPr>
        <w:jc w:val="center"/>
      </w:pPr>
      <w:r>
        <w:rPr>
          <w:noProof/>
        </w:rPr>
        <w:drawing>
          <wp:inline distT="0" distB="0" distL="0" distR="0" wp14:anchorId="74E5455D" wp14:editId="1AA2E6D7">
            <wp:extent cx="4782312" cy="3410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2312" cy="341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70D" w:rsidRDefault="00C9270D" w:rsidP="003961E5">
      <w:pPr>
        <w:jc w:val="center"/>
      </w:pPr>
      <w:r>
        <w:rPr>
          <w:noProof/>
        </w:rPr>
        <w:drawing>
          <wp:inline distT="0" distB="0" distL="0" distR="0" wp14:anchorId="3C001994" wp14:editId="6AE2114A">
            <wp:extent cx="3310128" cy="1481328"/>
            <wp:effectExtent l="0" t="0" r="508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0128" cy="148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C3" w:rsidRDefault="00C9270D" w:rsidP="003961E5">
      <w:pPr>
        <w:jc w:val="center"/>
      </w:pPr>
      <w:r>
        <w:rPr>
          <w:noProof/>
        </w:rPr>
        <w:drawing>
          <wp:inline distT="0" distB="0" distL="0" distR="0" wp14:anchorId="4ABA4749" wp14:editId="245C93A2">
            <wp:extent cx="1591056" cy="82296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1056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9F3" w:rsidRDefault="009809F3" w:rsidP="00C9270D">
      <w:r>
        <w:t>The name is inserted into the form.</w:t>
      </w:r>
    </w:p>
    <w:p w:rsidR="00FF26C3" w:rsidRDefault="009809F3" w:rsidP="003961E5">
      <w:pPr>
        <w:jc w:val="center"/>
      </w:pPr>
      <w:r>
        <w:rPr>
          <w:noProof/>
        </w:rPr>
        <w:drawing>
          <wp:inline distT="0" distB="0" distL="0" distR="0" wp14:anchorId="1ACBF415" wp14:editId="745A9A73">
            <wp:extent cx="2843784" cy="265176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3784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1E5" w:rsidRDefault="003961E5" w:rsidP="003961E5">
      <w:pPr>
        <w:jc w:val="center"/>
      </w:pPr>
    </w:p>
    <w:p w:rsidR="00FF26C3" w:rsidRDefault="00FF26C3" w:rsidP="006472AD">
      <w:pPr>
        <w:pStyle w:val="ListParagraph"/>
        <w:numPr>
          <w:ilvl w:val="0"/>
          <w:numId w:val="1"/>
        </w:numPr>
      </w:pPr>
      <w:r w:rsidRPr="003C7928">
        <w:rPr>
          <w:b/>
        </w:rPr>
        <w:lastRenderedPageBreak/>
        <w:t>Receiving Section</w:t>
      </w:r>
      <w:r>
        <w:t>: Complete with receiving institution contact information.</w:t>
      </w:r>
    </w:p>
    <w:p w:rsidR="00FF26C3" w:rsidRDefault="00FF26C3" w:rsidP="00FF26C3">
      <w:pPr>
        <w:pStyle w:val="ListParagraph"/>
      </w:pPr>
    </w:p>
    <w:p w:rsidR="00883F24" w:rsidRDefault="009809F3" w:rsidP="006472AD">
      <w:pPr>
        <w:pStyle w:val="ListParagraph"/>
        <w:numPr>
          <w:ilvl w:val="0"/>
          <w:numId w:val="1"/>
        </w:numPr>
      </w:pPr>
      <w:r w:rsidRPr="003C7928">
        <w:rPr>
          <w:b/>
        </w:rPr>
        <w:t>A</w:t>
      </w:r>
      <w:r w:rsidR="00FF26C3" w:rsidRPr="003C7928">
        <w:rPr>
          <w:b/>
        </w:rPr>
        <w:t>dd all equipment</w:t>
      </w:r>
      <w:r w:rsidR="00FF26C3">
        <w:t xml:space="preserve"> that is being requested for transfer using the drop down options as appropriate. </w:t>
      </w:r>
    </w:p>
    <w:p w:rsidR="00883F24" w:rsidRDefault="00883F24" w:rsidP="00883F24">
      <w:pPr>
        <w:pStyle w:val="ListParagraph"/>
      </w:pPr>
    </w:p>
    <w:p w:rsidR="009809F3" w:rsidRDefault="00FF26C3" w:rsidP="006472AD">
      <w:pPr>
        <w:pStyle w:val="ListParagraph"/>
        <w:numPr>
          <w:ilvl w:val="0"/>
          <w:numId w:val="1"/>
        </w:numPr>
      </w:pPr>
      <w:r>
        <w:t>A</w:t>
      </w:r>
      <w:r w:rsidR="009809F3">
        <w:t xml:space="preserve">fter </w:t>
      </w:r>
      <w:r>
        <w:t>the list is complete</w:t>
      </w:r>
      <w:r w:rsidR="009809F3">
        <w:t xml:space="preserve"> click</w:t>
      </w:r>
      <w:r w:rsidR="003961E5">
        <w:t xml:space="preserve"> </w:t>
      </w:r>
      <w:proofErr w:type="gramStart"/>
      <w:r w:rsidR="003961E5">
        <w:t xml:space="preserve">the </w:t>
      </w:r>
      <w:r w:rsidR="009809F3">
        <w:t xml:space="preserve"> </w:t>
      </w:r>
      <w:r>
        <w:t>“</w:t>
      </w:r>
      <w:proofErr w:type="gramEnd"/>
      <w:r w:rsidR="009809F3" w:rsidRPr="00883F24">
        <w:rPr>
          <w:b/>
        </w:rPr>
        <w:t>Submit</w:t>
      </w:r>
      <w:r>
        <w:t>” icon</w:t>
      </w:r>
      <w:r w:rsidR="009809F3">
        <w:t>.</w:t>
      </w:r>
    </w:p>
    <w:p w:rsidR="009809F3" w:rsidRDefault="009809F3" w:rsidP="003961E5">
      <w:pPr>
        <w:jc w:val="center"/>
      </w:pPr>
      <w:r>
        <w:rPr>
          <w:noProof/>
        </w:rPr>
        <w:drawing>
          <wp:inline distT="0" distB="0" distL="0" distR="0" wp14:anchorId="5F22E94C" wp14:editId="5F929778">
            <wp:extent cx="5943600" cy="4383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6C3" w:rsidRDefault="00FF26C3" w:rsidP="00C9270D"/>
    <w:p w:rsidR="00FF26C3" w:rsidRDefault="00FF26C3" w:rsidP="00C9270D">
      <w:pPr>
        <w:rPr>
          <w:b/>
          <w:u w:val="single"/>
        </w:rPr>
      </w:pPr>
    </w:p>
    <w:p w:rsidR="00FF26C3" w:rsidRDefault="00FF26C3" w:rsidP="00C9270D">
      <w:pPr>
        <w:rPr>
          <w:b/>
          <w:u w:val="single"/>
        </w:rPr>
      </w:pPr>
    </w:p>
    <w:p w:rsidR="00FF26C3" w:rsidRDefault="00FF26C3" w:rsidP="00C9270D">
      <w:pPr>
        <w:rPr>
          <w:b/>
          <w:u w:val="single"/>
        </w:rPr>
      </w:pPr>
    </w:p>
    <w:p w:rsidR="00FF26C3" w:rsidRDefault="00FF26C3" w:rsidP="00C9270D">
      <w:pPr>
        <w:rPr>
          <w:b/>
          <w:u w:val="single"/>
        </w:rPr>
      </w:pPr>
    </w:p>
    <w:p w:rsidR="00FF26C3" w:rsidRDefault="00FF26C3" w:rsidP="00C9270D">
      <w:pPr>
        <w:rPr>
          <w:b/>
          <w:u w:val="single"/>
        </w:rPr>
      </w:pPr>
    </w:p>
    <w:p w:rsidR="00FF26C3" w:rsidRDefault="00FF26C3" w:rsidP="00C9270D">
      <w:pPr>
        <w:rPr>
          <w:b/>
          <w:u w:val="single"/>
        </w:rPr>
      </w:pPr>
    </w:p>
    <w:p w:rsidR="00883F24" w:rsidRDefault="00883F24" w:rsidP="00C9270D">
      <w:pPr>
        <w:rPr>
          <w:b/>
          <w:u w:val="single"/>
        </w:rPr>
      </w:pPr>
    </w:p>
    <w:p w:rsidR="00883F24" w:rsidRDefault="00883F24" w:rsidP="00C9270D">
      <w:pPr>
        <w:rPr>
          <w:b/>
          <w:u w:val="single"/>
        </w:rPr>
      </w:pPr>
    </w:p>
    <w:p w:rsidR="004F2238" w:rsidRDefault="004F2238" w:rsidP="00C9270D">
      <w:pPr>
        <w:rPr>
          <w:b/>
          <w:u w:val="single"/>
        </w:rPr>
      </w:pPr>
    </w:p>
    <w:p w:rsidR="00883F24" w:rsidRDefault="00883F24" w:rsidP="00C9270D">
      <w:pPr>
        <w:rPr>
          <w:b/>
          <w:u w:val="single"/>
        </w:rPr>
      </w:pPr>
    </w:p>
    <w:p w:rsidR="00FF26C3" w:rsidRPr="004F2238" w:rsidRDefault="00FF26C3" w:rsidP="004F2238">
      <w:pPr>
        <w:pStyle w:val="ListParagraph"/>
        <w:numPr>
          <w:ilvl w:val="0"/>
          <w:numId w:val="3"/>
        </w:numPr>
        <w:rPr>
          <w:b/>
          <w:u w:val="single"/>
        </w:rPr>
      </w:pPr>
      <w:r w:rsidRPr="004F2238">
        <w:rPr>
          <w:b/>
          <w:u w:val="single"/>
        </w:rPr>
        <w:lastRenderedPageBreak/>
        <w:t>Approval Process</w:t>
      </w:r>
    </w:p>
    <w:p w:rsidR="004F2238" w:rsidRDefault="009809F3" w:rsidP="003C7928">
      <w:pPr>
        <w:pStyle w:val="ListParagraph"/>
        <w:numPr>
          <w:ilvl w:val="0"/>
          <w:numId w:val="2"/>
        </w:numPr>
      </w:pPr>
      <w:r>
        <w:t xml:space="preserve">Upon submission, </w:t>
      </w:r>
      <w:r w:rsidR="003C7928">
        <w:t xml:space="preserve">the Chair, Center or Institute Director </w:t>
      </w:r>
      <w:r w:rsidR="00883F24">
        <w:t>will receive</w:t>
      </w:r>
      <w:r w:rsidR="003C7928">
        <w:t xml:space="preserve"> the following email entitled</w:t>
      </w:r>
      <w:r w:rsidR="004F2238">
        <w:t>:</w:t>
      </w:r>
    </w:p>
    <w:p w:rsidR="003C7928" w:rsidRDefault="003961E5" w:rsidP="004F2238">
      <w:pPr>
        <w:pStyle w:val="ListParagraph"/>
        <w:ind w:left="360"/>
      </w:pPr>
      <w:r>
        <w:rPr>
          <w:i/>
        </w:rPr>
        <w:t>Action Required: SOM Equipment Transfer Request</w:t>
      </w:r>
      <w:r w:rsidR="003C7928" w:rsidRPr="004F2238">
        <w:rPr>
          <w:i/>
        </w:rPr>
        <w:t>.</w:t>
      </w:r>
      <w:r w:rsidR="003C7928">
        <w:t xml:space="preserve"> (Note: upon submission the PI will also receive an email with view only access to the equipment transfer request form.)</w:t>
      </w:r>
      <w:r w:rsidR="00883F24" w:rsidRPr="00883F24">
        <w:rPr>
          <w:noProof/>
        </w:rPr>
        <w:t xml:space="preserve"> </w:t>
      </w:r>
    </w:p>
    <w:p w:rsidR="009809F3" w:rsidRDefault="00935941" w:rsidP="003961E5">
      <w:pPr>
        <w:jc w:val="center"/>
      </w:pPr>
      <w:r w:rsidRPr="00935941">
        <w:rPr>
          <w:noProof/>
          <w:highlight w:val="yellow"/>
        </w:rPr>
        <w:drawing>
          <wp:inline distT="0" distB="0" distL="0" distR="0" wp14:anchorId="4CC9C20A" wp14:editId="7325CFA6">
            <wp:extent cx="4206240" cy="1106424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8DA" w:rsidRDefault="00A058DA" w:rsidP="003C7928">
      <w:pPr>
        <w:pStyle w:val="ListParagraph"/>
      </w:pPr>
    </w:p>
    <w:p w:rsidR="003C7928" w:rsidRDefault="003C7928" w:rsidP="003C7928">
      <w:pPr>
        <w:pStyle w:val="ListParagraph"/>
        <w:numPr>
          <w:ilvl w:val="0"/>
          <w:numId w:val="2"/>
        </w:numPr>
      </w:pPr>
      <w:r>
        <w:t xml:space="preserve">Click the link in the email opening the </w:t>
      </w:r>
      <w:r w:rsidRPr="00935941">
        <w:rPr>
          <w:i/>
        </w:rPr>
        <w:t>My Documents</w:t>
      </w:r>
      <w:r>
        <w:t xml:space="preserve"> view.  Then click the name of the document (which is a link) to open the form.</w:t>
      </w:r>
    </w:p>
    <w:p w:rsidR="003C7928" w:rsidRDefault="003C7928" w:rsidP="003961E5">
      <w:pPr>
        <w:pStyle w:val="ListParagraph"/>
        <w:jc w:val="center"/>
      </w:pPr>
      <w:r>
        <w:rPr>
          <w:noProof/>
        </w:rPr>
        <w:drawing>
          <wp:inline distT="0" distB="0" distL="0" distR="0" wp14:anchorId="1950ED20" wp14:editId="50A5A942">
            <wp:extent cx="3300984" cy="117043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00984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28" w:rsidRDefault="003C7928" w:rsidP="003C7928">
      <w:pPr>
        <w:pStyle w:val="ListParagraph"/>
      </w:pPr>
    </w:p>
    <w:p w:rsidR="00883F24" w:rsidRDefault="00883F24" w:rsidP="003C7928">
      <w:pPr>
        <w:pStyle w:val="ListParagraph"/>
      </w:pPr>
    </w:p>
    <w:p w:rsidR="003C7928" w:rsidRDefault="003C7928" w:rsidP="003C7928">
      <w:pPr>
        <w:pStyle w:val="ListParagraph"/>
        <w:numPr>
          <w:ilvl w:val="0"/>
          <w:numId w:val="2"/>
        </w:numPr>
      </w:pPr>
      <w:r>
        <w:t xml:space="preserve">The Chair, Center or Institute Director </w:t>
      </w:r>
      <w:r w:rsidR="00883F24">
        <w:t>must select</w:t>
      </w:r>
      <w:r>
        <w:t xml:space="preserve"> </w:t>
      </w:r>
      <w:r w:rsidR="00883F24">
        <w:t xml:space="preserve">an approval type. If desired a comment may be entered, this may be more pertinent if the request is </w:t>
      </w:r>
      <w:r w:rsidR="003961E5">
        <w:t xml:space="preserve">being </w:t>
      </w:r>
      <w:r w:rsidR="00883F24">
        <w:t xml:space="preserve">denied (see next note). </w:t>
      </w:r>
      <w:r>
        <w:t xml:space="preserve"> </w:t>
      </w:r>
      <w:r w:rsidR="00883F24">
        <w:t>Once the approval type is chosen th</w:t>
      </w:r>
      <w:r w:rsidR="00935941">
        <w:t>e Chair or Director</w:t>
      </w:r>
      <w:r w:rsidR="00883F24">
        <w:t xml:space="preserve"> must click “</w:t>
      </w:r>
      <w:r>
        <w:t>Save</w:t>
      </w:r>
      <w:r w:rsidR="00883F24">
        <w:t>”</w:t>
      </w:r>
      <w:r>
        <w:t xml:space="preserve"> and then </w:t>
      </w:r>
      <w:r w:rsidR="00883F24">
        <w:t>“</w:t>
      </w:r>
      <w:r>
        <w:t>Close</w:t>
      </w:r>
      <w:r w:rsidR="00883F24">
        <w:t>”</w:t>
      </w:r>
      <w:r>
        <w:t xml:space="preserve"> </w:t>
      </w:r>
      <w:r w:rsidR="004F2238">
        <w:t>i</w:t>
      </w:r>
      <w:r>
        <w:t xml:space="preserve">n the ribbon at the top of the form. If “request approved” is chosen, the form will be automatically forwarded to the next unit for approval. </w:t>
      </w:r>
    </w:p>
    <w:p w:rsidR="003C7928" w:rsidRDefault="003C7928" w:rsidP="003C7928"/>
    <w:p w:rsidR="00A058DA" w:rsidRDefault="009809F3" w:rsidP="003C7928">
      <w:pPr>
        <w:pStyle w:val="ListParagraph"/>
        <w:numPr>
          <w:ilvl w:val="0"/>
          <w:numId w:val="2"/>
        </w:numPr>
      </w:pPr>
      <w:r>
        <w:t>If</w:t>
      </w:r>
      <w:r w:rsidR="00A058DA">
        <w:t xml:space="preserve"> the Chair, Center or Institute Director denies the request, the </w:t>
      </w:r>
      <w:r w:rsidR="006472AD">
        <w:t xml:space="preserve">requestor </w:t>
      </w:r>
      <w:r w:rsidR="00435622">
        <w:t>and the PI</w:t>
      </w:r>
      <w:r w:rsidR="00A058DA">
        <w:t xml:space="preserve"> will receive the following email:</w:t>
      </w:r>
    </w:p>
    <w:p w:rsidR="00435622" w:rsidRDefault="00435622" w:rsidP="003961E5">
      <w:pPr>
        <w:jc w:val="center"/>
      </w:pPr>
      <w:r>
        <w:rPr>
          <w:noProof/>
        </w:rPr>
        <w:drawing>
          <wp:inline distT="0" distB="0" distL="0" distR="0" wp14:anchorId="7E211988" wp14:editId="06C62B52">
            <wp:extent cx="2999232" cy="162763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1627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928" w:rsidRDefault="003C7928" w:rsidP="00C9270D">
      <w:pPr>
        <w:rPr>
          <w:b/>
        </w:rPr>
      </w:pPr>
    </w:p>
    <w:p w:rsidR="003C7928" w:rsidRDefault="003C7928" w:rsidP="00C9270D">
      <w:pPr>
        <w:rPr>
          <w:b/>
        </w:rPr>
      </w:pPr>
    </w:p>
    <w:p w:rsidR="00883F24" w:rsidRDefault="00883F24" w:rsidP="00C9270D">
      <w:pPr>
        <w:rPr>
          <w:b/>
        </w:rPr>
      </w:pPr>
    </w:p>
    <w:p w:rsidR="00883F24" w:rsidRDefault="00883F24" w:rsidP="00C9270D">
      <w:pPr>
        <w:rPr>
          <w:b/>
        </w:rPr>
      </w:pPr>
    </w:p>
    <w:p w:rsidR="00113CAE" w:rsidRPr="00935941" w:rsidRDefault="00113CAE" w:rsidP="00935941">
      <w:pPr>
        <w:pStyle w:val="ListParagraph"/>
        <w:numPr>
          <w:ilvl w:val="0"/>
          <w:numId w:val="3"/>
        </w:numPr>
        <w:rPr>
          <w:b/>
        </w:rPr>
      </w:pPr>
      <w:r w:rsidRPr="00935941">
        <w:rPr>
          <w:b/>
        </w:rPr>
        <w:lastRenderedPageBreak/>
        <w:t>Correcting and Resubmitting Request</w:t>
      </w:r>
    </w:p>
    <w:p w:rsidR="00113CAE" w:rsidRDefault="00435622" w:rsidP="004F2238">
      <w:pPr>
        <w:pStyle w:val="ListParagraph"/>
        <w:numPr>
          <w:ilvl w:val="0"/>
          <w:numId w:val="4"/>
        </w:numPr>
      </w:pPr>
      <w:r>
        <w:t>Dependent on the denial reason, the information on the form may be edited and then resubmitted to the Chai</w:t>
      </w:r>
      <w:r w:rsidR="00113CAE">
        <w:t>r, Center or Ins</w:t>
      </w:r>
      <w:r w:rsidR="006472AD">
        <w:t xml:space="preserve">titute Director.  The requestor would </w:t>
      </w:r>
      <w:r w:rsidR="00113CAE">
        <w:t xml:space="preserve">correct the information and </w:t>
      </w:r>
      <w:r w:rsidR="006472AD">
        <w:t xml:space="preserve">then </w:t>
      </w:r>
      <w:r w:rsidR="00113CAE">
        <w:t xml:space="preserve">select </w:t>
      </w:r>
      <w:r w:rsidR="00A56DB3">
        <w:t>“</w:t>
      </w:r>
      <w:r w:rsidR="00113CAE">
        <w:t>Yes</w:t>
      </w:r>
      <w:r w:rsidR="00A56DB3">
        <w:t>”</w:t>
      </w:r>
      <w:r w:rsidR="00113CAE">
        <w:t xml:space="preserve"> for “Resubmit to Chair, Center or Institute </w:t>
      </w:r>
      <w:r w:rsidR="00A56DB3">
        <w:t>D</w:t>
      </w:r>
      <w:r w:rsidR="00113CAE">
        <w:t>irector</w:t>
      </w:r>
      <w:r w:rsidR="00A56DB3">
        <w:t>”</w:t>
      </w:r>
      <w:r w:rsidR="00113CAE">
        <w:t xml:space="preserve">.  Then click </w:t>
      </w:r>
      <w:r w:rsidR="004F2238">
        <w:t>“</w:t>
      </w:r>
      <w:r w:rsidR="00113CAE">
        <w:t>Save</w:t>
      </w:r>
      <w:r w:rsidR="004F2238">
        <w:t>”</w:t>
      </w:r>
      <w:r w:rsidR="00113CAE">
        <w:t xml:space="preserve"> and </w:t>
      </w:r>
      <w:r w:rsidR="004F2238">
        <w:t>“</w:t>
      </w:r>
      <w:r w:rsidR="00113CAE">
        <w:t>Close</w:t>
      </w:r>
      <w:r w:rsidR="004F2238">
        <w:t>”</w:t>
      </w:r>
      <w:r w:rsidR="00113CAE">
        <w:t>.  The Chair, Center or Institute Director is sent the request for review.</w:t>
      </w:r>
    </w:p>
    <w:p w:rsidR="009809F3" w:rsidRDefault="00113CAE" w:rsidP="003961E5">
      <w:pPr>
        <w:jc w:val="center"/>
      </w:pPr>
      <w:r>
        <w:rPr>
          <w:noProof/>
        </w:rPr>
        <w:drawing>
          <wp:inline distT="0" distB="0" distL="0" distR="0" wp14:anchorId="3FED4524" wp14:editId="7DAE22A3">
            <wp:extent cx="5943600" cy="41757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41" w:rsidRDefault="00935941" w:rsidP="00C9270D"/>
    <w:p w:rsidR="00935941" w:rsidRDefault="00935941" w:rsidP="00C9270D"/>
    <w:p w:rsidR="00935941" w:rsidRDefault="00935941" w:rsidP="00C9270D"/>
    <w:p w:rsidR="00935941" w:rsidRDefault="00935941" w:rsidP="00C9270D"/>
    <w:p w:rsidR="00935941" w:rsidRDefault="00935941" w:rsidP="00C9270D"/>
    <w:p w:rsidR="00935941" w:rsidRDefault="00935941" w:rsidP="00C9270D"/>
    <w:p w:rsidR="00935941" w:rsidRDefault="00935941" w:rsidP="00C9270D"/>
    <w:p w:rsidR="00935941" w:rsidRDefault="00935941" w:rsidP="00C9270D"/>
    <w:p w:rsidR="00935941" w:rsidRDefault="00935941" w:rsidP="00C9270D"/>
    <w:p w:rsidR="00935941" w:rsidRDefault="00935941" w:rsidP="00C9270D"/>
    <w:p w:rsidR="00935941" w:rsidRDefault="00935941" w:rsidP="00C9270D"/>
    <w:p w:rsidR="00935941" w:rsidRDefault="00935941" w:rsidP="00C9270D"/>
    <w:p w:rsidR="00935941" w:rsidRPr="00935941" w:rsidRDefault="00935941" w:rsidP="00935941">
      <w:pPr>
        <w:pStyle w:val="ListParagraph"/>
        <w:numPr>
          <w:ilvl w:val="0"/>
          <w:numId w:val="3"/>
        </w:numPr>
        <w:rPr>
          <w:b/>
          <w:u w:val="single"/>
        </w:rPr>
      </w:pPr>
      <w:r w:rsidRPr="00935941">
        <w:rPr>
          <w:b/>
          <w:u w:val="single"/>
        </w:rPr>
        <w:t>International Transfer Requests</w:t>
      </w:r>
    </w:p>
    <w:p w:rsidR="00F14EBD" w:rsidRDefault="00F14EBD" w:rsidP="004F2238">
      <w:pPr>
        <w:pStyle w:val="ListParagraph"/>
        <w:numPr>
          <w:ilvl w:val="0"/>
          <w:numId w:val="4"/>
        </w:numPr>
      </w:pPr>
      <w:r>
        <w:t xml:space="preserve">If the request </w:t>
      </w:r>
      <w:r w:rsidR="00935941">
        <w:t>involves transfer of the equipment to an i</w:t>
      </w:r>
      <w:r>
        <w:t>nternational</w:t>
      </w:r>
      <w:r w:rsidR="00935941">
        <w:t xml:space="preserve"> destination</w:t>
      </w:r>
      <w:r>
        <w:t>, the request is sent to Export Control after the Chair, Center or Institute</w:t>
      </w:r>
      <w:r w:rsidR="004F2238">
        <w:t xml:space="preserve"> Director approves.  If Export </w:t>
      </w:r>
      <w:r w:rsidR="00935941">
        <w:t>C</w:t>
      </w:r>
      <w:r>
        <w:t>ontrol denies the request, the following email is sent to the requestor and the PI is copied:</w:t>
      </w:r>
    </w:p>
    <w:p w:rsidR="00F14EBD" w:rsidRDefault="00F14EBD" w:rsidP="003961E5">
      <w:pPr>
        <w:jc w:val="center"/>
      </w:pPr>
      <w:r>
        <w:rPr>
          <w:noProof/>
        </w:rPr>
        <w:drawing>
          <wp:inline distT="0" distB="0" distL="0" distR="0" wp14:anchorId="1F05EE78" wp14:editId="419A2E36">
            <wp:extent cx="3182112" cy="56692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2112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941" w:rsidRDefault="00935941" w:rsidP="00C9270D"/>
    <w:p w:rsidR="00935941" w:rsidRDefault="00935941" w:rsidP="00C9270D"/>
    <w:p w:rsidR="00935941" w:rsidRPr="00935941" w:rsidRDefault="004F2238" w:rsidP="00935941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/>
          <w:u w:val="single"/>
        </w:rPr>
        <w:t>Completion</w:t>
      </w:r>
    </w:p>
    <w:p w:rsidR="00DB09C0" w:rsidRDefault="007652EE" w:rsidP="00935941">
      <w:r>
        <w:t>After all approvals are in place</w:t>
      </w:r>
      <w:bookmarkStart w:id="0" w:name="_GoBack"/>
      <w:bookmarkEnd w:id="0"/>
      <w:r w:rsidR="00DB09C0">
        <w:t>, the PI, Business Manager, Business Manager Desi</w:t>
      </w:r>
      <w:r w:rsidR="005449F9">
        <w:t xml:space="preserve">gnee, and </w:t>
      </w:r>
      <w:r w:rsidR="00935941">
        <w:t xml:space="preserve">PI </w:t>
      </w:r>
      <w:r w:rsidR="005449F9">
        <w:t xml:space="preserve">receive an email </w:t>
      </w:r>
      <w:r w:rsidR="00DB09C0">
        <w:t xml:space="preserve">with a link to the </w:t>
      </w:r>
      <w:r w:rsidR="00DB09C0" w:rsidRPr="003961E5">
        <w:rPr>
          <w:i/>
        </w:rPr>
        <w:t>My Documents</w:t>
      </w:r>
      <w:r w:rsidR="00DB09C0">
        <w:t xml:space="preserve"> view.</w:t>
      </w:r>
    </w:p>
    <w:p w:rsidR="00D922B6" w:rsidRDefault="004C17EA" w:rsidP="003961E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B5E9FD4" wp14:editId="58267556">
            <wp:extent cx="3858768" cy="84124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58768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38" w:rsidRDefault="004F2238" w:rsidP="00C9270D">
      <w:pPr>
        <w:rPr>
          <w:noProof/>
        </w:rPr>
      </w:pPr>
      <w:r>
        <w:rPr>
          <w:noProof/>
        </w:rPr>
        <w:br/>
        <w:t>And the Procurement Office will send a liability release form/invoice to the department to forward to the receiving instutuion for signature/payment. Once the form/funds have been received by Duke the department notifies the Procurement Office and releases the equipment for transfer.</w:t>
      </w:r>
    </w:p>
    <w:p w:rsidR="004F2238" w:rsidRDefault="004F2238" w:rsidP="00C9270D">
      <w:r>
        <w:rPr>
          <w:noProof/>
        </w:rPr>
        <w:t xml:space="preserve">Please reference </w:t>
      </w:r>
      <w:r w:rsidRPr="004F2238">
        <w:rPr>
          <w:i/>
          <w:noProof/>
        </w:rPr>
        <w:t>SOM Equipment Transfer Policy</w:t>
      </w:r>
      <w:r>
        <w:rPr>
          <w:noProof/>
        </w:rPr>
        <w:t xml:space="preserve"> for more details.</w:t>
      </w:r>
    </w:p>
    <w:sectPr w:rsidR="004F2238" w:rsidSect="00397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58C9"/>
    <w:multiLevelType w:val="hybridMultilevel"/>
    <w:tmpl w:val="65A01E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715ED"/>
    <w:multiLevelType w:val="hybridMultilevel"/>
    <w:tmpl w:val="27820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B25EF"/>
    <w:multiLevelType w:val="hybridMultilevel"/>
    <w:tmpl w:val="8D8A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C2842"/>
    <w:multiLevelType w:val="hybridMultilevel"/>
    <w:tmpl w:val="D87A7AFE"/>
    <w:lvl w:ilvl="0" w:tplc="05A85C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7C"/>
    <w:rsid w:val="00113CAE"/>
    <w:rsid w:val="0038147C"/>
    <w:rsid w:val="003961E5"/>
    <w:rsid w:val="0039797C"/>
    <w:rsid w:val="003C7928"/>
    <w:rsid w:val="00435622"/>
    <w:rsid w:val="004C17EA"/>
    <w:rsid w:val="004F2238"/>
    <w:rsid w:val="005449F9"/>
    <w:rsid w:val="006472AD"/>
    <w:rsid w:val="007652EE"/>
    <w:rsid w:val="00883F24"/>
    <w:rsid w:val="00935941"/>
    <w:rsid w:val="009809F3"/>
    <w:rsid w:val="00A058DA"/>
    <w:rsid w:val="00A30919"/>
    <w:rsid w:val="00A56DB3"/>
    <w:rsid w:val="00C163E6"/>
    <w:rsid w:val="00C9270D"/>
    <w:rsid w:val="00D922B6"/>
    <w:rsid w:val="00DB09C0"/>
    <w:rsid w:val="00F14EBD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intranet.medschool.duke.edu/depts/admin/finance/_layouts/15/FormServer.aspx?XsnLocation=https%3a//intranet.medschool.duke.edu/depts/admin/finance/School%20of%20Medicine%20Equipment%20Transfer%20Requests/Forms/template.xsn&amp;SaveLocation=https%3a//intranet.medschool.duke.edu/depts/admin/finance/School%20of%20Medicine%20Equipment%20Transfer%20Requests&amp;ClientInstalled=true&amp;DefaultItemOpen=1&amp;Source=https%3a//intranet.medschool.duke.edu/depts/admin/finance/School%2520of%2520Medicine%2520Equipment%2520Transfer%2520Requests/Forms/MyItems.aspx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257A38E321AF44A3E6081961123B2B" ma:contentTypeVersion="1" ma:contentTypeDescription="Create a new document." ma:contentTypeScope="" ma:versionID="1604eb73d81bea6686bcfa6a0bb523f7">
  <xsd:schema xmlns:xsd="http://www.w3.org/2001/XMLSchema" xmlns:xs="http://www.w3.org/2001/XMLSchema" xmlns:p="http://schemas.microsoft.com/office/2006/metadata/properties" xmlns:ns2="de813371-d5f8-4d51-a9a3-3d49191cd6c3" targetNamespace="http://schemas.microsoft.com/office/2006/metadata/properties" ma:root="true" ma:fieldsID="b101b868d00c0399b101cf04649dddbf" ns2:_="">
    <xsd:import namespace="de813371-d5f8-4d51-a9a3-3d49191cd6c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13371-d5f8-4d51-a9a3-3d49191cd6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813371-d5f8-4d51-a9a3-3d49191cd6c3">
      <UserInfo>
        <DisplayName>Ellen McCarthy Steinour</DisplayName>
        <AccountId>26</AccountId>
        <AccountType/>
      </UserInfo>
      <UserInfo>
        <DisplayName>Dan Parler</DisplayName>
        <AccountId>1282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770419-4B7A-491E-BB8F-1465AE6F637B}"/>
</file>

<file path=customXml/itemProps2.xml><?xml version="1.0" encoding="utf-8"?>
<ds:datastoreItem xmlns:ds="http://schemas.openxmlformats.org/officeDocument/2006/customXml" ds:itemID="{0CE87A8F-56EF-42ED-8065-5F17F3293434}"/>
</file>

<file path=customXml/itemProps3.xml><?xml version="1.0" encoding="utf-8"?>
<ds:datastoreItem xmlns:ds="http://schemas.openxmlformats.org/officeDocument/2006/customXml" ds:itemID="{53A6656C-E0CE-4D2F-AFEF-A36D3924EE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hocke204</dc:creator>
  <cp:lastModifiedBy>Carolyn Mackman</cp:lastModifiedBy>
  <cp:revision>2</cp:revision>
  <dcterms:created xsi:type="dcterms:W3CDTF">2016-10-20T18:17:00Z</dcterms:created>
  <dcterms:modified xsi:type="dcterms:W3CDTF">2016-10-20T18:17:00Z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0x01010069257A38E321AF44A3E6081961123B2B</vt:lpwstr>
  </property>
</Properties>
</file>